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6"/>
        </w:rPr>
        <w:t>湖北葛店人福药业有限责任公司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6"/>
        </w:rPr>
        <w:t>环保信息公开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（一）基础信息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单位名称：湖北葛店人福药业有限责任公司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组织机构代码：91420700726118497D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法定代表人：郑承刚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生产地址：鄂州市葛店经济技术开发区聚贤路25号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联系方式：0711-3811767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生产经营和管理服务主要内容：1、原料药(含抗肿瘤类);2、片剂（含激素类，含计划生育用药），硬胶囊剂(计划生育用药)，软胶囊剂（激素类）;经营本企业生产所需的原辅材料、仪器仪表、机械设备、零配件及技术的进口业务(国家限定公司经营和国家禁止进出口的商品及技术除外）;经营本企业自产产品及技术的出口业务;经营进料加工和“三来一补”业务;互联网药品交易及信息服务;房屋租赁（依法须经批准的项目，经相关部门批准后方可开展经营活动）。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产品及规模：</w:t>
      </w:r>
      <w:bookmarkStart w:id="17" w:name="_GoBack"/>
      <w:bookmarkEnd w:id="17"/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（1）黄体酮     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50吨/年；   （2）米非司酮  3吨/年；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（3）环丙孕酮    2吨/年；    （4）非那雄胺  3吨/年。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排污信息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表一：大气污染物排放信息</w:t>
      </w:r>
    </w:p>
    <w:tbl>
      <w:tblPr>
        <w:tblStyle w:val="16"/>
        <w:tblW w:w="12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275"/>
        <w:gridCol w:w="1560"/>
        <w:gridCol w:w="1559"/>
        <w:gridCol w:w="1843"/>
        <w:gridCol w:w="1636"/>
        <w:gridCol w:w="1029"/>
        <w:gridCol w:w="708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排放方式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排放去向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监测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点位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污染物种类</w:t>
            </w: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标准限值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mg/m³</w:t>
            </w: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）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达标情况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超标倍数</w:t>
            </w:r>
          </w:p>
        </w:tc>
        <w:tc>
          <w:tcPr>
            <w:tcW w:w="18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执行排放标准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有组织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废气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1根20m排气筒排入大气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DA001排气筒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挥发性有机物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0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《制药工业大气污染物排放标准》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（GB37823—2019）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苯系物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甲醇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102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氯化氢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有组织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废气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1根18m排气筒排入大气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DA002排气筒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挥发性有机物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《制药工业大气污染物排放标准》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（GB37823—2019）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氯化氢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甲醇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有组织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废气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1根15m排气筒排入大气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DA003排气筒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《锅炉大气污染物排放标准》（GB13271-2014）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林格曼黑度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 (无量纲)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3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有组织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废气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1根24m排气筒排入大气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DA004排气筒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臭气浓度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20(无量纲)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《恶臭污染物排放标准》（GB14554-93）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非甲烷总烃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《制药工业大气污染物排放标准》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（GB37823—2019）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氨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硫化氢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无组织废气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排入大气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厂界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挥发性有机物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《大气污染物综合排放标准》（GB169297-1996）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甲醇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甲苯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2.4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臭气浓度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20(无量纲)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《恶臭污染物排放标准》（GB14554-93）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硫化氢</w:t>
            </w:r>
          </w:p>
        </w:tc>
        <w:tc>
          <w:tcPr>
            <w:tcW w:w="16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0.06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1"/>
        </w:rPr>
      </w:pPr>
      <w:r>
        <w:rPr>
          <w:rFonts w:ascii="Times New Roman" w:hAnsi="Times New Roman" w:eastAsia="宋体" w:cs="Times New Roman"/>
          <w:sz w:val="24"/>
          <w:szCs w:val="21"/>
        </w:rPr>
        <w:t>表二：废水污染物排放信息</w:t>
      </w:r>
    </w:p>
    <w:tbl>
      <w:tblPr>
        <w:tblStyle w:val="16"/>
        <w:tblW w:w="12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1"/>
        <w:gridCol w:w="742"/>
        <w:gridCol w:w="821"/>
        <w:gridCol w:w="821"/>
        <w:gridCol w:w="931"/>
        <w:gridCol w:w="1366"/>
        <w:gridCol w:w="703"/>
        <w:gridCol w:w="1119"/>
        <w:gridCol w:w="2275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污染物名称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排放方式</w:t>
            </w:r>
          </w:p>
        </w:tc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排放去向</w:t>
            </w:r>
          </w:p>
        </w:tc>
        <w:tc>
          <w:tcPr>
            <w:tcW w:w="8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排放口数量</w:t>
            </w:r>
          </w:p>
        </w:tc>
        <w:tc>
          <w:tcPr>
            <w:tcW w:w="93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排放口分布</w:t>
            </w: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标准限值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（mg/L）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达标情况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超标倍数</w:t>
            </w:r>
          </w:p>
        </w:tc>
        <w:tc>
          <w:tcPr>
            <w:tcW w:w="22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执行排放标准</w:t>
            </w:r>
          </w:p>
        </w:tc>
        <w:tc>
          <w:tcPr>
            <w:tcW w:w="13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核定排放总量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吨/年</w:t>
            </w: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COD</w:t>
            </w:r>
          </w:p>
        </w:tc>
        <w:tc>
          <w:tcPr>
            <w:tcW w:w="74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间歇式有规律排放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鄂州市葛店开发区城市污水处理厂</w:t>
            </w:r>
          </w:p>
        </w:tc>
        <w:tc>
          <w:tcPr>
            <w:tcW w:w="82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厂区污水站（DW001）</w:t>
            </w: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500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鄂州市葛店开发区城市污水处理厂纳管标准</w:t>
            </w:r>
          </w:p>
        </w:tc>
        <w:tc>
          <w:tcPr>
            <w:tcW w:w="13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SS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400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总磷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总氮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45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PH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6-9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BOD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300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氨氮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35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挥发酚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0.5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《化学合成类制药工业水污染排放标准》（GB21904-2008）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硝基苯类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2.0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10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总锌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0.5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11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硫化物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1.0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12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总氰化物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0.5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色度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50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14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急性毒性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0.07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15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苯胺类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2.0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二氯甲烷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0.3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17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总铜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0.5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总有机碳</w:t>
            </w:r>
          </w:p>
        </w:tc>
        <w:tc>
          <w:tcPr>
            <w:tcW w:w="7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35</w:t>
            </w:r>
          </w:p>
        </w:tc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达标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-</w:t>
            </w: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1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1"/>
        </w:rPr>
      </w:pPr>
      <w:r>
        <w:rPr>
          <w:rFonts w:ascii="Times New Roman" w:hAnsi="Times New Roman" w:eastAsia="宋体" w:cs="Times New Roman"/>
          <w:sz w:val="24"/>
          <w:szCs w:val="21"/>
        </w:rPr>
        <w:t>表三：厂界噪声信息      单位：dB（A）</w:t>
      </w:r>
    </w:p>
    <w:tbl>
      <w:tblPr>
        <w:tblStyle w:val="16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785"/>
        <w:gridCol w:w="2175"/>
        <w:gridCol w:w="1342"/>
        <w:gridCol w:w="156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污染物名称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监测点位</w:t>
            </w:r>
          </w:p>
        </w:tc>
        <w:tc>
          <w:tcPr>
            <w:tcW w:w="21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执行标准</w:t>
            </w: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昼间限值（dB）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夜间限值（dB）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机械噪声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东侧厂界外1米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《工业企业厂界环境噪声排放标准》（GB12348-2008）</w:t>
            </w: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60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50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南侧厂界外1米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70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55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西侧厂界外1米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60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50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北侧厂界外1米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60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50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达标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说明：排放浓度见附表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防治污染设施的建设和运行情况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1"/>
        </w:rPr>
      </w:pPr>
      <w:r>
        <w:rPr>
          <w:rFonts w:ascii="Times New Roman" w:hAnsi="Times New Roman" w:eastAsia="宋体" w:cs="Times New Roman"/>
          <w:sz w:val="24"/>
          <w:szCs w:val="21"/>
        </w:rPr>
        <w:t>1）公司建设有三套尾气处理系统，分别对车间生产废气和污水处理站废气进行收集和处理。设施运行良好。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1"/>
        </w:rPr>
      </w:pPr>
      <w:r>
        <w:rPr>
          <w:rFonts w:ascii="Times New Roman" w:hAnsi="Times New Roman" w:eastAsia="宋体" w:cs="Times New Roman"/>
          <w:sz w:val="24"/>
          <w:szCs w:val="21"/>
        </w:rPr>
        <w:t>2）公司建设有一座“水解酸化+厌氧+兼性氧化+好氧”污水处理站，处理能力为400吨/天。污水处理站运行良好，废水总排放口排放的污染物均达标排放。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1"/>
        </w:rPr>
      </w:pPr>
      <w:r>
        <w:rPr>
          <w:rFonts w:ascii="Times New Roman" w:hAnsi="Times New Roman" w:eastAsia="宋体" w:cs="Times New Roman"/>
          <w:sz w:val="24"/>
          <w:szCs w:val="21"/>
        </w:rPr>
        <w:t>3）我们对废水的COD、pH值等污染物因子，废气的VOCs、氮氧化物等污染物因子进行了自行监测，检测报告显示污染物排放指标合格。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建设项目环境影响评价及其他环境保护行政许可情况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建设项目环境影响评价：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湖北葛店人福药业有限责任公司从2000年建厂至今，共经过四次新建、扩建项目。每次项目建设前，都经过建设项目环境影响评价并取得环保部门批复。每次项目完成后，都经过环保部门的验收。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排污许可证：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、湖北葛店人福药业有限责任公司位于鄂州市葛店开发区聚贤路25号，公司成立于2000年2月26日，注册资金12800万元，环保总投资大约3000万元。成立环保管理机构：安环部，其中环保管理人员5人，建有环境管理制度，分别有污水处理制度、废气处理制度、危废管理制度、环保管理制度等；202</w:t>
      </w:r>
      <w:r>
        <w:rPr>
          <w:rFonts w:hint="eastAsia" w:ascii="Times New Roman" w:hAnsi="Times New Roman" w:cs="Times New Roman"/>
          <w:sz w:val="24"/>
          <w:lang w:val="en-US" w:eastAsia="zh-CN"/>
        </w:rPr>
        <w:t>4</w:t>
      </w:r>
      <w:r>
        <w:rPr>
          <w:rFonts w:ascii="Times New Roman" w:hAnsi="Times New Roman" w:cs="Times New Roman"/>
          <w:sz w:val="24"/>
        </w:rPr>
        <w:t>年</w:t>
      </w:r>
      <w:r>
        <w:rPr>
          <w:rFonts w:hint="eastAsia" w:ascii="Times New Roman" w:hAnsi="Times New Roman" w:cs="Times New Roman"/>
          <w:sz w:val="24"/>
          <w:lang w:val="en-US" w:eastAsia="zh-CN"/>
        </w:rPr>
        <w:t>1</w:t>
      </w:r>
      <w:r>
        <w:rPr>
          <w:rFonts w:ascii="Times New Roman" w:hAnsi="Times New Roman" w:cs="Times New Roman"/>
          <w:sz w:val="24"/>
        </w:rPr>
        <w:t>季度公司认真履行企业环境保护责任，自觉遵守环保政策法律法规，基本落实了市、区环保局下达的各项环境管理要求。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2、遵守法律法规情况：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   严格按照国家相关的法律、法规执行；严格按照《排污许可管理办法》执行。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突发环境事件应急预案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湖北葛店人福药业有限责任公司编制了《突发环境事件应急预案》，并在环保部门备案。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  <w:sectPr>
          <w:head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自行监测方案</w:t>
      </w:r>
    </w:p>
    <w:p>
      <w:pPr>
        <w:widowControl/>
        <w:spacing w:line="360" w:lineRule="auto"/>
        <w:jc w:val="center"/>
        <w:rPr>
          <w:rFonts w:ascii="Times New Roman" w:hAnsi="Times New Roman" w:cs="Times New Roman"/>
        </w:rPr>
      </w:pPr>
    </w:p>
    <w:p>
      <w:pPr>
        <w:widowControl/>
        <w:spacing w:line="360" w:lineRule="auto"/>
        <w:jc w:val="center"/>
        <w:rPr>
          <w:rFonts w:hint="eastAsia" w:ascii="Times New Roman" w:hAnsi="Times New Roman" w:cs="Times New Roman" w:eastAsiaTheme="minorEastAsia"/>
          <w:lang w:eastAsia="zh-CN"/>
        </w:rPr>
        <w:sectPr>
          <w:head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5269865" cy="6819900"/>
            <wp:effectExtent l="0" t="0" r="6985" b="0"/>
            <wp:docPr id="3" name="图片 3" descr="扫描文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文稿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0" w:name="_Toc12465"/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t>一、公司基本情况</w:t>
      </w:r>
      <w:bookmarkEnd w:id="0"/>
    </w:p>
    <w:p>
      <w:pPr>
        <w:pStyle w:val="3"/>
        <w:rPr>
          <w:rFonts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bookmarkStart w:id="1" w:name="_Toc30313"/>
      <w:r>
        <w:rPr>
          <w:rFonts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（一）基本情况</w:t>
      </w:r>
      <w:bookmarkEnd w:id="1"/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湖北葛店人福药业有限责任公司成立于2000年，位于湖北省葛店经济技术开发区，地理坐标为：经度112 °54´0"；纬度28°12´0". 是一家专业从事甾体激素类原料药、生育调节类药物及抗肿瘤药物的研发、生产和销售的现代化医药企业。</w:t>
      </w:r>
    </w:p>
    <w:p>
      <w:pPr>
        <w:pStyle w:val="3"/>
        <w:rPr>
          <w:rFonts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bookmarkStart w:id="2" w:name="_Toc15989"/>
      <w:r>
        <w:rPr>
          <w:rFonts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（二）污染物治理及排放情况</w:t>
      </w:r>
      <w:bookmarkEnd w:id="2"/>
    </w:p>
    <w:p>
      <w:pPr>
        <w:spacing w:line="360" w:lineRule="auto"/>
        <w:ind w:firstLine="600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>1、废气治理及排放设施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公司废气主要来自生产工艺过程包括投料、浓缩、干燥等阶段用的有机溶剂挥发产生的有机废气，废气处理工艺如下所示：</w:t>
      </w:r>
    </w:p>
    <w:p>
      <w:pPr>
        <w:spacing w:line="360" w:lineRule="auto"/>
        <w:ind w:firstLine="480"/>
      </w:pPr>
      <w:r>
        <w:rPr>
          <w:sz w:val="24"/>
        </w:rPr>
        <w:t>（1）1、4车间废气处理流程图</w:t>
      </w:r>
    </w:p>
    <w:p>
      <w:pPr>
        <w:spacing w:line="360" w:lineRule="auto"/>
      </w:pPr>
      <w:r>
        <w:drawing>
          <wp:inline distT="0" distB="0" distL="0" distR="0">
            <wp:extent cx="5695950" cy="14287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（2）5车间废气处理流程图</w:t>
      </w:r>
    </w:p>
    <w:p>
      <w:pPr>
        <w:spacing w:line="360" w:lineRule="auto"/>
      </w:pPr>
      <w:r>
        <w:drawing>
          <wp:inline distT="0" distB="0" distL="0" distR="0">
            <wp:extent cx="5848350" cy="17049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（3）污水站废气处理流程图：</w:t>
      </w:r>
    </w:p>
    <w:p>
      <w:pPr>
        <w:spacing w:line="360" w:lineRule="auto"/>
      </w:pPr>
      <w:r>
        <w:drawing>
          <wp:inline distT="0" distB="0" distL="0" distR="0">
            <wp:extent cx="5724525" cy="8667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firstLine="600" w:firstLineChars="200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>废水治理及排放设施</w:t>
      </w:r>
    </w:p>
    <w:p>
      <w:pPr>
        <w:spacing w:line="360" w:lineRule="auto"/>
        <w:ind w:firstLine="480"/>
      </w:pPr>
      <w:r>
        <w:rPr>
          <w:sz w:val="24"/>
        </w:rPr>
        <w:t>公司废水主要包括生产废水和生活污水，其中生产废水主要为工艺有机废水、含盐废水、洗涤废水、纯水浓缩废水、冷却水、循环水等。将各类废水主要分为高浓废水及低浓废水分开收集，其处理流程如下图所示。</w:t>
      </w:r>
    </w:p>
    <w:p>
      <w:pPr>
        <w:spacing w:line="360" w:lineRule="auto"/>
      </w:pPr>
      <w:r>
        <w:drawing>
          <wp:inline distT="0" distB="0" distL="0" distR="0">
            <wp:extent cx="5486400" cy="31718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firstLine="600" w:firstLineChars="200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>噪声污染防止措施</w:t>
      </w:r>
    </w:p>
    <w:p>
      <w:pPr>
        <w:spacing w:line="360" w:lineRule="auto"/>
        <w:ind w:firstLine="480"/>
      </w:pPr>
      <w:r>
        <w:rPr>
          <w:sz w:val="24"/>
        </w:rPr>
        <w:t>选择低噪声设备，噪声级较高的设备上加装消声、隔声降噪装置，对泵类、风机基础采取减震措施，管道连接处采用柔性接头，锅炉风机安装在室内，风机、空压机入口处安装消声器，风管上设置补偿节来降低震动产生的噪声。车间与厂界之间设置绿化隔离带进行减少噪音污染。</w:t>
      </w:r>
    </w:p>
    <w:p>
      <w:pPr>
        <w:numPr>
          <w:ilvl w:val="0"/>
          <w:numId w:val="2"/>
        </w:numPr>
        <w:spacing w:line="360" w:lineRule="auto"/>
        <w:ind w:firstLine="600" w:firstLineChars="200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>固体废物</w:t>
      </w:r>
    </w:p>
    <w:p>
      <w:pPr>
        <w:spacing w:line="360" w:lineRule="auto"/>
        <w:ind w:firstLine="480"/>
      </w:pPr>
      <w:r>
        <w:rPr>
          <w:sz w:val="24"/>
        </w:rPr>
        <w:t>本公司产生的固体废物包括生活垃圾、一般固体废弃物及危废，生化垃圾交由环卫统一处理。一般固体废弃物主要包括废外包装物，交由环卫部门进行处理。所涉及的危废主要有氧化铝、活性炭、废活性炭、硅藻土、母液、实验室废液、氧化铁、污泥</w:t>
      </w:r>
      <w:r>
        <w:rPr>
          <w:rFonts w:hint="eastAsia"/>
          <w:sz w:val="24"/>
        </w:rPr>
        <w:t>、反应残余物、钯炭</w:t>
      </w:r>
      <w:r>
        <w:rPr>
          <w:sz w:val="24"/>
        </w:rPr>
        <w:t>。均交由有资质的第三方危废处理公司进行处理，无自行处理项目。</w:t>
      </w:r>
    </w:p>
    <w:p>
      <w:pPr>
        <w:pStyle w:val="2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3" w:name="_Toc5224"/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t>二、企业自行监测开展情况说明</w:t>
      </w:r>
      <w:bookmarkEnd w:id="3"/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根据基本情况及生产工艺、污染物产生及排放情况，参照HJ858.1-2017《排污许可证申请与核发技术规范 制药工业—原料药制造》、HJ881-2017《排污单位自行监测技术指南 提取类制药工业》等文件要求，制定了本自行监测计划。</w:t>
      </w:r>
    </w:p>
    <w:p>
      <w:pPr>
        <w:spacing w:line="360" w:lineRule="auto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自行监测手段采用在线监测和手工监测方式开展，手工监测方式委托有资质的第三方环境检测公司进行监测，具体内容见手工自行监测方案内容。</w:t>
      </w:r>
    </w:p>
    <w:p>
      <w:pPr>
        <w:pStyle w:val="2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4" w:name="_Toc23351"/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t>三、在线自行监测方案</w:t>
      </w:r>
      <w:bookmarkEnd w:id="4"/>
    </w:p>
    <w:p>
      <w:pPr>
        <w:pStyle w:val="28"/>
        <w:spacing w:line="360" w:lineRule="auto"/>
        <w:ind w:firstLine="480" w:firstLineChars="200"/>
        <w:rPr>
          <w:rFonts w:hint="default" w:ascii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根据HJ858.1-2017《排污许可证申请与核发技术规范 制药工业—原料药制造》中“自行监测”要求，污水处理站废水污染因子中流量、pH值、化学需氧量、氨氮分别安装在线监测设备，采取自动监测。</w:t>
      </w:r>
    </w:p>
    <w:p>
      <w:pPr>
        <w:pStyle w:val="2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5" w:name="_Toc29698"/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t>四、手工自行监测方案</w:t>
      </w:r>
      <w:bookmarkEnd w:id="5"/>
    </w:p>
    <w:p>
      <w:pPr>
        <w:pStyle w:val="3"/>
        <w:rPr>
          <w:rFonts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bookmarkStart w:id="6" w:name="_Toc19561"/>
      <w:r>
        <w:rPr>
          <w:rFonts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（一）废气监测方案</w:t>
      </w:r>
      <w:bookmarkEnd w:id="6"/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1、废气监测点位、监测项目、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手工监测采样方法及个数、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监测频次</w:t>
      </w:r>
    </w:p>
    <w:p>
      <w:pPr>
        <w:spacing w:line="360" w:lineRule="auto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废气手工监测点位、监测项目、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手工监测采样方法及个数、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监测频次见下表。</w:t>
      </w:r>
    </w:p>
    <w:p>
      <w:pPr>
        <w:spacing w:line="360" w:lineRule="auto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表1  废气污染源监测内容一览表</w:t>
      </w:r>
    </w:p>
    <w:tbl>
      <w:tblPr>
        <w:tblStyle w:val="15"/>
        <w:tblW w:w="10915" w:type="dxa"/>
        <w:tblInd w:w="-12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850"/>
        <w:gridCol w:w="1559"/>
        <w:gridCol w:w="1134"/>
        <w:gridCol w:w="993"/>
        <w:gridCol w:w="1417"/>
        <w:gridCol w:w="1417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污染源类型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点位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监测频次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测试要求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手工监测采样方法及个数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浓度限值（mg\Nm³）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执行排放标准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有组织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废气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DA001排气筒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挥发性有机物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1次/月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记录工况、生产负荷等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98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《制药工业大气污染物排放标准》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（GB37823—2019）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苯系物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甲醇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氯化氢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98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有组织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废气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DA002排气筒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挥发性有机物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1次/月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记录工况、生产负荷等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《制药工业大气污染物排放标准》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（GB37823—2019）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氯化氢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甲醇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198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有组织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废气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DA003排气筒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记录工况、生产负荷等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《锅炉大气污染物排放标准》（GB13271-2014）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二氧化硫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林格曼黑度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 (无量纲)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氮氧化物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1次/月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98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有组织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废气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DA004排气筒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臭气浓度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记录工况、生产负荷等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2000(无量纲)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《恶臭污染物排放标准》（GB14554-93）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非甲烷总烃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1次/月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《制药工业大气污染物排放标准》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（GB37823—2019）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硫化氢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1次/年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8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无组织废气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厂界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挥发性有机物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1次/半年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记录工况、生产负荷等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《大气污染物综合排放标准》（GB169297-1996）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甲醇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1次/半年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甲苯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1次/半年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198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臭气浓度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1次/半年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20(无量纲)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《恶臭污染物排放标准》（GB14554-93）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硫化氢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1次/半年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非连续采样</w:t>
            </w:r>
          </w:p>
          <w:p>
            <w:pPr>
              <w:widowControl/>
              <w:snapToGrid w:val="0"/>
              <w:jc w:val="center"/>
              <w:rPr>
                <w:kern w:val="0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至少3个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0.06</w:t>
            </w:r>
          </w:p>
        </w:tc>
        <w:tc>
          <w:tcPr>
            <w:tcW w:w="198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</w:tbl>
    <w:p>
      <w:pPr>
        <w:pStyle w:val="28"/>
        <w:spacing w:line="360" w:lineRule="auto"/>
        <w:rPr>
          <w:rFonts w:hint="default" w:ascii="Times New Roman" w:eastAsiaTheme="minorEastAsia"/>
        </w:rPr>
      </w:pP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2、监测点位示意图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有组织废气和无组织废气监测点位示意图详见监测点位分布图。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3、手工监测采样方法、样品保存方法、测定分析方法</w:t>
      </w:r>
    </w:p>
    <w:p>
      <w:pPr>
        <w:spacing w:line="360" w:lineRule="auto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废气污染物手工监测采样方法、样品保存方法、测定分析方法见下表。</w:t>
      </w:r>
    </w:p>
    <w:p>
      <w:pPr>
        <w:spacing w:line="360" w:lineRule="auto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表2  废气污染物</w:t>
      </w:r>
      <w:r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监测采样方法、样品保存方法、测定分析方法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一览表</w:t>
      </w:r>
    </w:p>
    <w:tbl>
      <w:tblPr>
        <w:tblStyle w:val="16"/>
        <w:tblW w:w="5224" w:type="pct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064"/>
        <w:gridCol w:w="2490"/>
        <w:gridCol w:w="2098"/>
        <w:gridCol w:w="1757"/>
        <w:gridCol w:w="7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监测项目</w:t>
            </w:r>
          </w:p>
        </w:tc>
        <w:tc>
          <w:tcPr>
            <w:tcW w:w="1397" w:type="pct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手工监测采样方法依据</w:t>
            </w: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  <w:szCs w:val="13"/>
                <w:lang w:val="zh-CN"/>
              </w:rPr>
              <w:t>样品保存方式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手工测定分析方法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挥发性有机物；</w:t>
            </w:r>
          </w:p>
        </w:tc>
        <w:tc>
          <w:tcPr>
            <w:tcW w:w="1397" w:type="pct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有组织废气手工采样方法参照GB/T 16157-1996《固定污染源排气中颗粒物测定与气态污染物采样方法》和HJ/T 397-2007《固定源废气监测技术规范》执行</w:t>
            </w: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样品采集完成后，立即用密封帽将采样管两端密封，</w:t>
            </w:r>
            <w:r>
              <w:rPr>
                <w:color w:val="000000"/>
                <w:sz w:val="18"/>
                <w:szCs w:val="13"/>
              </w:rPr>
              <w:t>4℃避光保存，7日内分析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固定污染源废气 挥发性有机物的测定 固定相吸附-热脱附/气相色谱-质谱法（HJ 734-2014）；</w:t>
            </w:r>
          </w:p>
        </w:tc>
        <w:tc>
          <w:tcPr>
            <w:tcW w:w="437" w:type="pct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有组织废气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05" w:type="pc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非甲烷总烃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样品常温避光保存，采样后尽快完成分析。玻璃注射器保存的样品，放置时间不超过8h;气袋保存的样品，放置时间不超过48 h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固定污染源废气总烃、甲烷和非甲烷总烃的测定 气相色谱法 HJ 38-2017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05" w:type="pct"/>
            <w:vAlign w:val="center"/>
          </w:tcPr>
          <w:p>
            <w:pPr>
              <w:jc w:val="center"/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甲醇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采集样品后应尽快分析。如不能及时分析，可于冰箱3~5℃冷藏，一星期内分析完毕。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变色酸比色法《空气和废气监测分析方法》（第四版增补版）国家环境保护总局（2017年）6.1.6.2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氯化氢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样品采集后用连续管密封吸收瓶中，于4℃以下冷藏保存，48h完成分析测定。如不能及时分析，应将样品转移至聚乙烯瓶中，于4℃以下冷藏可保存7d。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环境空气和废气 氯化氢的测定 离子色谱法HJ 549-2016代替HJ 549-2009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苯系物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吸附采样管采样后，立即用密封帽将采样管两端密封，4℃避光保存，7日内分析。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固定污染源废气 挥发性有机物的测定 固相吸附-热脱附\气相色谱-质谱法HJ 734-2014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样品应及时保存到密封袋中，避免污染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测定重量法（HJ836—2017）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二氧化硫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/>
                <w:sz w:val="18"/>
                <w:szCs w:val="13"/>
                <w:lang w:val="zh-CN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仪器直接测量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固定污染源排气中二氧化硫的测定 定电位电解法 HJ 57-2017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氮氧化物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/>
                <w:sz w:val="18"/>
                <w:szCs w:val="13"/>
                <w:lang w:val="zh-CN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仪器直接测量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固定污染源废气 氮氧化物的测定 定电位电解法 HJ 693-2014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林格曼黑度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/>
                <w:sz w:val="18"/>
                <w:szCs w:val="13"/>
                <w:lang w:val="zh-CN"/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现场观察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固定污染源排放 烟气黑度的测定 林格曼烟气黑度的测定 HJ/T 398-2007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臭气浓度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样品采集完成后，盖好瓶塞，避光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空气质量 恶臭的测定 三点比较式臭袋法 GB T 14675-1993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97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氨（氨气）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采样后应尽快分析，以防止吸收空气中的氨。不能立即分析，2~5℃可保存7d。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空气和废气 氨的测定 纳氏试剂分光光度法 HJ 533-2009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97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硫化氢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采样完成后现场加显色剂，避光</w:t>
            </w:r>
          </w:p>
        </w:tc>
        <w:tc>
          <w:tcPr>
            <w:tcW w:w="986" w:type="pct"/>
            <w:vAlign w:val="center"/>
          </w:tcPr>
          <w:p>
            <w:r>
              <w:rPr>
                <w:sz w:val="18"/>
                <w:szCs w:val="13"/>
              </w:rPr>
              <w:t>硫化氢亚甲蓝分光光度法（B）《空气和废 气监测分析方法》（第四版增补版）国家环 境保护总局（2003年）5.4.10.3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臭气浓度</w:t>
            </w:r>
          </w:p>
        </w:tc>
        <w:tc>
          <w:tcPr>
            <w:tcW w:w="1397" w:type="pct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无组织排放采样方法参照HJ/T 55 -2000《大气污染物无组织排放监测技术导则》执行</w:t>
            </w: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样品采集完成后，盖好瓶塞，避光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空气质量 恶臭的测定 三点比较式臭袋法 GB/T 14675-1993</w:t>
            </w:r>
          </w:p>
        </w:tc>
        <w:tc>
          <w:tcPr>
            <w:tcW w:w="437" w:type="pct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无组织废气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甲醇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采集样品后应尽快分析。如不能及时分析，可于冰箱3~5℃冷藏，一星期内分析完毕。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变色酸比色法《空气和废气监测分析方法》（第四版增补版）国家环境保护总局（2017年）6.1.6.2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甲苯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避光密闭保存，室温下8h内测定。否则放入密闭容器，保存于-20℃冰箱中，保存期限为1天。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环境空气 挥发性有机物的测定 吸附管采样-热脱附/气相色谱-质谱法 HJ 644-2013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硫化氢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采样完成后现场加显色剂，避光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8"/>
              </w:rPr>
              <w:t>硫化氢亚甲蓝分光光度法</w:t>
            </w:r>
            <w:r>
              <w:rPr>
                <w:color w:val="000000"/>
                <w:sz w:val="18"/>
                <w:szCs w:val="18"/>
                <w:lang w:bidi="en-US"/>
              </w:rPr>
              <w:t>（B）</w:t>
            </w:r>
            <w:r>
              <w:rPr>
                <w:color w:val="000000"/>
                <w:sz w:val="18"/>
                <w:szCs w:val="18"/>
              </w:rPr>
              <w:t>《空气和废 气监测分析方法》（第四版增补版）国家环 境保护总局（2003年）</w:t>
            </w:r>
            <w:r>
              <w:rPr>
                <w:color w:val="000000"/>
                <w:sz w:val="18"/>
                <w:szCs w:val="18"/>
                <w:lang w:bidi="en-US"/>
              </w:rPr>
              <w:t>3.11.2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挥发性有机物</w:t>
            </w:r>
          </w:p>
        </w:tc>
        <w:tc>
          <w:tcPr>
            <w:tcW w:w="139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8"/>
                <w:szCs w:val="13"/>
                <w:lang w:val="zh-CN"/>
              </w:rPr>
              <w:t>样品采集完成后，立即用密封帽将采样管两端密封，</w:t>
            </w:r>
            <w:r>
              <w:rPr>
                <w:color w:val="000000"/>
                <w:sz w:val="18"/>
                <w:szCs w:val="13"/>
              </w:rPr>
              <w:t>4℃避光保存，7日内分析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固定污染源废气 挥发性有机物的测定 固相吸附-热脱附\气相色谱-质谱法HJ 734-2014</w:t>
            </w:r>
          </w:p>
        </w:tc>
        <w:tc>
          <w:tcPr>
            <w:tcW w:w="437" w:type="pct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4、监测结果评价标准</w:t>
      </w:r>
    </w:p>
    <w:p>
      <w:pPr>
        <w:spacing w:line="360" w:lineRule="auto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有组织废气污染物排放执行《制药工业大气污染物排放标准》（GB37823—2019）中“表2 大气污染物特别排放限值”，臭气浓度执行《恶臭污染物排放标准》（GB 14554-93）；无组织废气污染物排放（氯气、氯化氢）执行《制药工业大气污染物排放标准》（GB37823—2019）中“表3 企业边界大气污染物浓度限值”，臭气浓度执行《恶臭污染物排放标准》（GB 14554-93），非甲烷总烃执行《大气污染物综合排放标准》（GB16297-1996）“无组织排放监控浓度限值”要求；详见下表。</w:t>
      </w:r>
    </w:p>
    <w:p>
      <w:pPr>
        <w:spacing w:line="360" w:lineRule="auto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表3  废气污染物排放执行标准一览表</w:t>
      </w:r>
    </w:p>
    <w:tbl>
      <w:tblPr>
        <w:tblStyle w:val="16"/>
        <w:tblW w:w="9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0"/>
        <w:gridCol w:w="1560"/>
        <w:gridCol w:w="1857"/>
        <w:gridCol w:w="1306"/>
        <w:gridCol w:w="1189"/>
        <w:gridCol w:w="24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污染源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污染物名称</w:t>
            </w:r>
          </w:p>
        </w:tc>
        <w:tc>
          <w:tcPr>
            <w:tcW w:w="1857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执行标准名称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执行标准限值</w:t>
            </w:r>
          </w:p>
        </w:tc>
        <w:tc>
          <w:tcPr>
            <w:tcW w:w="2416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确定依据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许可排放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浓度（mg/m</w:t>
            </w:r>
            <w:r>
              <w:rPr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许可排放速率（kg/h）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有组织废气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挥发性有机物</w:t>
            </w:r>
          </w:p>
        </w:tc>
        <w:tc>
          <w:tcPr>
            <w:tcW w:w="1857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《制药工业大气污染物排放标准》（GB37823—2019）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所在区域：湖北省鄂州市；环境空气二类区。表2 大气污染物特别排放限值。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非甲烷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总烃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（污水站）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氯化氢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苯系物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甲醇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5.1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氨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硫化氢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臭气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浓度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《恶臭污染物排放标准》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（GB 14554-93）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（无量纲）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林格曼黑度</w:t>
            </w:r>
          </w:p>
        </w:tc>
        <w:tc>
          <w:tcPr>
            <w:tcW w:w="1857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《锅炉大气污染物排放标准》（GB13271-2014）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 w:val="18"/>
                <w:szCs w:val="18"/>
              </w:rPr>
              <w:t>1 (无量纲)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二氧化硫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氮氧化物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厂界无组织废气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挥发性有机物</w:t>
            </w:r>
          </w:p>
        </w:tc>
        <w:tc>
          <w:tcPr>
            <w:tcW w:w="1857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《大气污染物综合排放标准》（GB16297-1996）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所在区域：湖北省鄂州市；环境空气二类区。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甲醇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89" w:type="dxa"/>
          </w:tcPr>
          <w:p>
            <w:pPr>
              <w:ind w:firstLine="42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甲苯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1189" w:type="dxa"/>
          </w:tcPr>
          <w:p>
            <w:pPr>
              <w:ind w:firstLine="42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臭气浓度</w:t>
            </w:r>
          </w:p>
        </w:tc>
        <w:tc>
          <w:tcPr>
            <w:tcW w:w="1857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《恶臭污染物排放标准》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（GB 14554-93）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20（无量纲）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硫化氢</w:t>
            </w: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0.06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4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rPr>
          <w:rFonts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bookmarkStart w:id="7" w:name="_Toc23437"/>
      <w:bookmarkStart w:id="8" w:name="_Toc39045339"/>
      <w:r>
        <w:rPr>
          <w:rFonts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（二）废水监测方案</w:t>
      </w:r>
      <w:bookmarkEnd w:id="7"/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1、废水手工监测点位、监测项目、</w:t>
      </w:r>
      <w: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手工监测采样方法及个数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及监测频次见下表。（废水中pH值、化学需氧量和氨氮采用在线自动监测）</w:t>
      </w:r>
    </w:p>
    <w:p>
      <w:pPr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表4  废水污染源监测内容一览表</w:t>
      </w:r>
    </w:p>
    <w:tbl>
      <w:tblPr>
        <w:tblStyle w:val="1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"/>
        <w:gridCol w:w="636"/>
        <w:gridCol w:w="800"/>
        <w:gridCol w:w="798"/>
        <w:gridCol w:w="884"/>
        <w:gridCol w:w="1470"/>
        <w:gridCol w:w="1957"/>
        <w:gridCol w:w="1163"/>
        <w:gridCol w:w="13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36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污染源类别</w:t>
            </w:r>
          </w:p>
        </w:tc>
        <w:tc>
          <w:tcPr>
            <w:tcW w:w="80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排放口编号</w:t>
            </w:r>
          </w:p>
        </w:tc>
        <w:tc>
          <w:tcPr>
            <w:tcW w:w="798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监测点位</w:t>
            </w:r>
          </w:p>
        </w:tc>
        <w:tc>
          <w:tcPr>
            <w:tcW w:w="884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监测内容</w:t>
            </w: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监测指标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手工监测采样方法及</w:t>
            </w:r>
          </w:p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个数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手工监测频次</w:t>
            </w:r>
          </w:p>
        </w:tc>
        <w:tc>
          <w:tcPr>
            <w:tcW w:w="1339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生产废水、生活污水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DW001</w:t>
            </w:r>
          </w:p>
        </w:tc>
        <w:tc>
          <w:tcPr>
            <w:tcW w:w="798" w:type="dxa"/>
            <w:vMerge w:val="restart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</w:rPr>
              <w:t>厂区污水总排放口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流量</w:t>
            </w: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化学需氧量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4次/日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pH值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4次/日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氨氮</w:t>
            </w:r>
            <w:r>
              <w:rPr>
                <w:rFonts w:ascii="Times New Roman" w:hAnsi="Times New Roman" w:eastAsiaTheme="minorEastAsia"/>
                <w:color w:val="333333"/>
                <w:sz w:val="18"/>
                <w:szCs w:val="18"/>
              </w:rPr>
              <w:t>（NH</w:t>
            </w:r>
            <w:r>
              <w:rPr>
                <w:rFonts w:ascii="Times New Roman" w:hAnsi="Times New Roman" w:eastAsiaTheme="minorEastAsia"/>
                <w:color w:val="333333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eastAsiaTheme="minorEastAsia"/>
                <w:color w:val="333333"/>
                <w:sz w:val="18"/>
                <w:szCs w:val="18"/>
              </w:rPr>
              <w:t>-N）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4次/日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色度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悬浮物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急性毒性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硝基苯类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总锌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硫化物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1次/半年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五日生化需氧量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挥发酚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总氰化物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总有机碳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苯胺类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二氯甲烷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总铜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1次/季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总氮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1次/月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总磷</w:t>
            </w:r>
          </w:p>
        </w:tc>
        <w:tc>
          <w:tcPr>
            <w:tcW w:w="1957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1次/月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雨水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DW002</w:t>
            </w:r>
          </w:p>
        </w:tc>
        <w:tc>
          <w:tcPr>
            <w:tcW w:w="798" w:type="dxa"/>
            <w:vMerge w:val="restart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雨水排放口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COD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1次/雨天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pH值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1次/雨天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337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36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氨氮</w:t>
            </w: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NH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18"/>
                <w:szCs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-N</w:t>
            </w: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混合采样至少3个混合样</w:t>
            </w:r>
          </w:p>
        </w:tc>
        <w:tc>
          <w:tcPr>
            <w:tcW w:w="1163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1次/雨天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2、监测点位示意图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有废水监测点位示意图详见监测点位分布图。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3、手工监测采样方法、样品保存方法、测定分析方法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废水污染物手工监测采样方法、样品保存方法、测定分析方法见下表。</w:t>
      </w:r>
    </w:p>
    <w:p>
      <w:pPr>
        <w:spacing w:line="360" w:lineRule="auto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表5  废水污染物</w:t>
      </w:r>
      <w:r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采样方法、样品保存方法、测定分析方法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一览表</w:t>
      </w:r>
    </w:p>
    <w:tbl>
      <w:tblPr>
        <w:tblStyle w:val="16"/>
        <w:tblW w:w="946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915"/>
        <w:gridCol w:w="1470"/>
        <w:gridCol w:w="2745"/>
        <w:gridCol w:w="2475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监测项目</w:t>
            </w:r>
          </w:p>
        </w:tc>
        <w:tc>
          <w:tcPr>
            <w:tcW w:w="1470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</w:rPr>
              <w:t>手工监测采样方法依据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样品保存方法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adjustRightInd w:val="0"/>
              <w:snapToGrid w:val="0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手工测定分析方法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色度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shd w:val="clear" w:color="auto" w:fill="FFFFFF"/>
              </w:rPr>
              <w:t>污水监测技术规范HJ91.1-2019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样品保存在玻璃瓶中，密封，存于暗处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水质 色度的测定GB 11903-89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悬浮物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保存在4</w:t>
            </w:r>
            <w:r>
              <w:rPr>
                <w:color w:val="000000"/>
                <w:sz w:val="18"/>
                <w:szCs w:val="18"/>
              </w:rPr>
              <w:t>℃冷藏冰箱中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水质 悬浮物的测定 重量法 GB 11901-1989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急性毒性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样品保存在带有聚四氟乙烯衬垫的玻璃瓶中，在2-5</w:t>
            </w:r>
            <w:r>
              <w:rPr>
                <w:color w:val="000000"/>
                <w:sz w:val="18"/>
                <w:szCs w:val="18"/>
              </w:rPr>
              <w:t>℃下保存样品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水质 急性毒性的测定 发光细菌法 GB/T 15441-1995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五日生化需氧量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将样品采集棕色玻璃瓶中，密封，在0-4</w:t>
            </w:r>
            <w:r>
              <w:rPr>
                <w:color w:val="000000"/>
                <w:sz w:val="18"/>
                <w:szCs w:val="18"/>
              </w:rPr>
              <w:t>℃的暗处运输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水质 五日生化需氧量（BOD5）的测定 稀释与接种法 HJ505-2009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总有机碳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将样品采集在棕色玻璃瓶中，加入硫酸，将水样酸化至pH≤2，在4</w:t>
            </w:r>
            <w:r>
              <w:rPr>
                <w:color w:val="000000"/>
                <w:sz w:val="18"/>
                <w:szCs w:val="18"/>
              </w:rPr>
              <w:t>℃条件下保存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水质 总有机碳的测定 燃烧氧化—非分散红外吸收法 HJ 501-2009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总铜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采样后立即加入硝酸，使样品pH为1~2，保存时间不超过14d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铜、锌、铅、镉的测定 原子吸收分光光度法 GB  7475-1987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二氯甲烷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样品采集后，应立即加入适量盐酸溶液，使样品pH≤2，拧紧瓶塞，贴上标签，立即放入冷藏箱中于4℃以下冷藏运输。样品运回实验室后，应于4℃以下冷藏，避光和密封保存，14d内完成分析测定。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挥发性有机物的测定 顶空/气相色谱-质谱法 HJ 810-2016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苯胺类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取样后不能及时进行测定，需置4℃下保存，不得超过2周。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苯胺类化合物的测定 N-乙二胺偶氮分光光度法  GB\T 11889-1989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硝基苯类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若水样不能在24h内测定，需加入浓硫酸调节pH≤3。样品必须在7d内萃取，萃取液4℃下避光保存，应在30d内进行分析。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硝基苯类化合物的测定 气相色谱法 HJ 592-2010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总氰化物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采来的样品应及时进行测定。如果不能及时测定样品，必须将样品4℃以下冷藏，并在采样后24h内分析样品。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氰化物的测定 异烟酸-吡唑啉酮分光光度法 HJ/T 484-2009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硫化物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现场采集并固定的水样应贮存在棕色瓶内，保存时间为一周。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硫化物的测定 亚甲基蓝分光光度法 GB\T 16489-1996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总锌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采样后立即加入硝酸，使样品pH为1~2，保存时间不超过14d。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铜、锌、铅、镉的测定 原子吸收分光光度法 GB  7475-1987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挥发酚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采集后的样品应在4℃下冷藏，24h内进行测定。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挥发酚的测定 4-氨基安替比林分光光度法 HJ\T 503-2009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总氮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样品采集完成后，加入氢氧化钠或硫酸调节pH值1-2。在常温</w:t>
            </w:r>
            <w:r>
              <w:rPr>
                <w:color w:val="000000"/>
                <w:sz w:val="18"/>
                <w:szCs w:val="18"/>
              </w:rPr>
              <w:t>保存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水质 总氮的测定 碱性过硫酸钾消解紫外分光光度法HJ636-2012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总磷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样品采集完成后，加入氢氧化钠或硫酸调节pH值1-2。在常温</w:t>
            </w:r>
            <w:r>
              <w:rPr>
                <w:color w:val="000000"/>
                <w:sz w:val="18"/>
                <w:szCs w:val="18"/>
              </w:rPr>
              <w:t>保存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水质 总磷的测定 钼酸铵分光光度法 GB 11893-1989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pH值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现场直接测定或者采样后把样品保持在0-4</w:t>
            </w:r>
            <w:r>
              <w:rPr>
                <w:color w:val="000000"/>
                <w:sz w:val="18"/>
                <w:szCs w:val="18"/>
              </w:rPr>
              <w:t>℃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</w:rPr>
              <w:t>水质 pH 值的测定 电极法 HJ 1147-2020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氨氮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样品采集完成后，加入硫酸调节pH值小于2。在2</w:t>
            </w:r>
            <w:r>
              <w:rPr>
                <w:color w:val="000000"/>
                <w:sz w:val="18"/>
                <w:szCs w:val="18"/>
              </w:rPr>
              <w:t>℃</w:t>
            </w:r>
            <w:r>
              <w:rPr>
                <w:bCs/>
                <w:color w:val="000000"/>
                <w:sz w:val="18"/>
                <w:szCs w:val="18"/>
              </w:rPr>
              <w:t>-5</w:t>
            </w:r>
            <w:r>
              <w:rPr>
                <w:color w:val="000000"/>
                <w:sz w:val="18"/>
                <w:szCs w:val="18"/>
              </w:rPr>
              <w:t>℃保存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水质 氨氮的测定 水杨酸分光光度法 HJ 536-2009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1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1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化学需氧量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/>
                <w:sz w:val="18"/>
                <w:szCs w:val="18"/>
              </w:rPr>
              <w:t>样品采集完成后，加入硫酸调节pH值小于2。在0</w:t>
            </w:r>
            <w:r>
              <w:rPr>
                <w:color w:val="000000"/>
                <w:sz w:val="18"/>
                <w:szCs w:val="18"/>
              </w:rPr>
              <w:t>℃</w:t>
            </w:r>
            <w:r>
              <w:rPr>
                <w:bCs/>
                <w:color w:val="000000"/>
                <w:sz w:val="18"/>
                <w:szCs w:val="18"/>
              </w:rPr>
              <w:t>-4</w:t>
            </w:r>
            <w:r>
              <w:rPr>
                <w:color w:val="000000"/>
                <w:sz w:val="18"/>
                <w:szCs w:val="18"/>
              </w:rPr>
              <w:t>℃保存</w:t>
            </w:r>
          </w:p>
        </w:tc>
        <w:tc>
          <w:tcPr>
            <w:tcW w:w="2475" w:type="dxa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水质 化学需氧量的测定 重铬酸盐法HJ 828-2017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pStyle w:val="28"/>
        <w:spacing w:line="360" w:lineRule="auto"/>
        <w:rPr>
          <w:rFonts w:hint="default"/>
        </w:rPr>
      </w:pP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4、监测结果评价标准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厂区污水总排放口的废水中各污染物执行《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化学合成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类制药工业水污染物排放标准 》（GB 2190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-2008）和污水处理厂废水接收协议标准，详见下表。</w:t>
      </w:r>
    </w:p>
    <w:p>
      <w:pPr>
        <w:spacing w:line="360" w:lineRule="auto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表6  废水污染物排放标准</w:t>
      </w:r>
    </w:p>
    <w:tbl>
      <w:tblPr>
        <w:tblStyle w:val="15"/>
        <w:tblW w:w="95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418"/>
        <w:gridCol w:w="1276"/>
        <w:gridCol w:w="1559"/>
        <w:gridCol w:w="34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8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firstLine="36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监测项目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标准限值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排水协议要求</w:t>
            </w: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执行标准名称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色度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《化学合成类制药工业水污染排放标准》（GB21904-2008）和污水处理厂废水接收协议标准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悬浮物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急性毒性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五日生化需氧量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总有机碳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总铜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二氯甲烷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苯胺类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硝基苯类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总氰化物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硫化物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挥发酚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.0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pH值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无量纲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6-9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6-9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氨氮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8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化学需氧量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28"/>
        <w:spacing w:line="360" w:lineRule="auto"/>
        <w:rPr>
          <w:rFonts w:hint="default" w:ascii="Times New Roman" w:eastAsiaTheme="minorEastAsia"/>
        </w:rPr>
      </w:pPr>
    </w:p>
    <w:p>
      <w:pPr>
        <w:pStyle w:val="3"/>
        <w:rPr>
          <w:rFonts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bookmarkStart w:id="9" w:name="_Toc39045340"/>
      <w:bookmarkStart w:id="10" w:name="_Toc8973"/>
      <w:r>
        <w:rPr>
          <w:rFonts w:eastAsiaTheme="minor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（三）厂界环境噪声监测</w:t>
      </w:r>
      <w:bookmarkEnd w:id="9"/>
      <w:bookmarkEnd w:id="10"/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1、厂界噪声监测内容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厂界噪声监测内容见下表。</w:t>
      </w:r>
    </w:p>
    <w:p>
      <w:pPr>
        <w:spacing w:line="360" w:lineRule="auto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表7  厂界噪声监测内容一览表</w:t>
      </w:r>
    </w:p>
    <w:tbl>
      <w:tblPr>
        <w:tblStyle w:val="1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1032"/>
        <w:gridCol w:w="1095"/>
        <w:gridCol w:w="2554"/>
        <w:gridCol w:w="14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监测点位布设</w:t>
            </w:r>
          </w:p>
        </w:tc>
        <w:tc>
          <w:tcPr>
            <w:tcW w:w="605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监测项目</w:t>
            </w:r>
          </w:p>
        </w:tc>
        <w:tc>
          <w:tcPr>
            <w:tcW w:w="642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监测频次</w:t>
            </w:r>
          </w:p>
        </w:tc>
        <w:tc>
          <w:tcPr>
            <w:tcW w:w="1497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监测方法及依据</w:t>
            </w:r>
          </w:p>
        </w:tc>
        <w:tc>
          <w:tcPr>
            <w:tcW w:w="861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在东、南、西、北厂界外1m处各布设1个监测点位</w:t>
            </w:r>
          </w:p>
        </w:tc>
        <w:tc>
          <w:tcPr>
            <w:tcW w:w="605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Leq(A)</w:t>
            </w:r>
          </w:p>
        </w:tc>
        <w:tc>
          <w:tcPr>
            <w:tcW w:w="642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每季一次</w:t>
            </w:r>
          </w:p>
        </w:tc>
        <w:tc>
          <w:tcPr>
            <w:tcW w:w="1497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《工业企业厂界环境噪声排放标准》（GB12348-2008）</w:t>
            </w:r>
          </w:p>
        </w:tc>
        <w:tc>
          <w:tcPr>
            <w:tcW w:w="861" w:type="pct"/>
            <w:vAlign w:val="center"/>
          </w:tcPr>
          <w:p>
            <w:pPr>
              <w:pStyle w:val="45"/>
              <w:jc w:val="center"/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2、监测点位示意图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在厂界四周东、南、西、北厂界外1m处各布设1个噪声监测点位，噪声监测点位详见监测点位分布图。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3、厂界噪声评价标准</w:t>
      </w:r>
    </w:p>
    <w:p>
      <w:pPr>
        <w:spacing w:line="360" w:lineRule="auto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厂界噪声执行《工业企业厂界环境噪声排放标准》（GB12348-2008）2类标准，厂界噪声排放限值为：昼间60dB(A)、夜间50dB(A)；主干道一侧执行4类标准昼间：70dB（A）夜间：55dB（A）。</w:t>
      </w:r>
    </w:p>
    <w:bookmarkEnd w:id="8"/>
    <w:p>
      <w:pPr>
        <w:pStyle w:val="2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11" w:name="_Toc24356"/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t>五、手工监测质量保证与质量控制要求</w:t>
      </w:r>
      <w:bookmarkEnd w:id="11"/>
    </w:p>
    <w:p>
      <w:pPr>
        <w:spacing w:line="360" w:lineRule="auto"/>
        <w:ind w:firstLine="480"/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由于不具备手工自行监测能力，因此将委托有资质的第三方环境检（监）测机构代为开展手工自行监测，每次开展手工自行监测前应对第三方环境检（监）测机构的资质进行确认。</w:t>
      </w:r>
    </w:p>
    <w:p>
      <w:pPr>
        <w:spacing w:line="360" w:lineRule="auto"/>
        <w:ind w:firstLine="480"/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要求委托的第三方环境检测机构必须严格按照HJ/T373-2007《固定污染源监测质量保证与质量控制技术规范（试行）》、HJ 630-2011《环境监测质量管理技术导则》、HJ819-2017《排污单位自行监测技术指南 总则》等技术规范要求进行监测质量控制，并在监测活动中必须采取以下质量保证与质量控制措施：</w:t>
      </w:r>
    </w:p>
    <w:p>
      <w:pPr>
        <w:pStyle w:val="46"/>
        <w:numPr>
          <w:ilvl w:val="0"/>
          <w:numId w:val="3"/>
        </w:numPr>
        <w:ind w:left="0" w:firstLine="480"/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监测人员要求：所有监测人员（包括采样人员、实验室分析人员等）均必须经培训合格，持证上岗。</w:t>
      </w:r>
    </w:p>
    <w:p>
      <w:pPr>
        <w:pStyle w:val="46"/>
        <w:numPr>
          <w:ilvl w:val="0"/>
          <w:numId w:val="3"/>
        </w:numPr>
        <w:ind w:left="0" w:firstLine="480"/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监测分析方法要求：首先采用国家标准方法，在没有国标方法时，可采用行业标准方法或国家生态环境部推荐方法（尽可能与监督性监测方法一致）。</w:t>
      </w:r>
    </w:p>
    <w:p>
      <w:pPr>
        <w:pStyle w:val="46"/>
        <w:numPr>
          <w:ilvl w:val="0"/>
          <w:numId w:val="3"/>
        </w:numPr>
        <w:ind w:left="0" w:firstLine="480"/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监测仪器设备要求：所有监测仪器、计量仪器均经过质检部门检定合格并在有效期内使用。</w:t>
      </w:r>
    </w:p>
    <w:p>
      <w:pPr>
        <w:pStyle w:val="46"/>
        <w:numPr>
          <w:ilvl w:val="0"/>
          <w:numId w:val="3"/>
        </w:numPr>
        <w:ind w:left="0" w:firstLine="480"/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废气监测采样要求：有组织排放源监测技术要求执行《固定污染源排气中颗粒物测定与气态污染物采样方法》(GB16157-1996)、《固定源废气监测技术规范》(HJ/T 397-2007)、《固定污染源监测质量保证与质量控制技术规范(试行)》(HJ/373-2007)。无组织排放源监测技术要求按照《大气污染物无组织排放监测技术导则》(HJ/T55-2000)、《空气和废气监测质量保证手册》等进行。采样仪器逐台进行气密性检查、流量校准。</w:t>
      </w:r>
    </w:p>
    <w:p>
      <w:pPr>
        <w:pStyle w:val="46"/>
        <w:numPr>
          <w:ilvl w:val="0"/>
          <w:numId w:val="3"/>
        </w:numPr>
        <w:ind w:left="0" w:firstLine="480"/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实验分析要求：实验室各种计量仪器按规定进行定期检定，需要控制温度、湿度条件的仪器配备相应设备，并进行有效测量。分析人员接样后在样品的保存期限内进行分析，做好原始记录，并进行数据处理和有效核准。未检出样品给出实验室使用分析方法的最低检出浓度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（6）采样样品同时采集每批次不得少于样品总数的10%平行样品，现场采样监测严格按照采样技术规范执行，采样过程要及时填写采样记录，结束后及时对采集好的样品进行密封、标识、保存。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（7）样品运输过程中应注意避免样品的破损、污染、变质，并及时将样品移交实验室分析。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（8）对于样品保存有效期短的项目，如pH值、溶解氧等应现场监测。对需要加保护剂保存的项目样品，应按照相关标准规范要求添加保护剂，对采样有特殊要求的监测项目应按照标准要求单独采样。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（9）现场采样同时安排工作质量监督员对采样工作进行现场监督。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（10）使用实验室通过计量认证的检测标准，选择分析灵敏度符合监测项目相关要求的分析方法。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（11）过程空白（如果有时）、试剂空白要求每批样品做一次。使用原子吸收分光光度计一类仪器测试时，每测试20个样品做一次试剂空白，以消除仪器信号波动对测试结果的影响。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12）质控样品要求每制备一批样品做一次（平行测定）。一般使用有证标准样品作为质控样品，通过质控样品结果可判断检测样品结果的准确度，对同一项目的质控样品测试结果进行统计可供数据分析使用。也可检测校准曲线浓度范围的标准溶液（可以是校准曲线中的浓度点），检测结果相对偏差不得大于5%，否则需重新制作校准曲线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 xml:space="preserve">（13）对于没有有证标准样品的项目或样品基体复杂对检测干扰大时，采用样品加标对检测结果准确度进行控制。要求每制备批样品做一次（平行测定），并控制加标量在样品含量的0.5-2倍，加标使样品体积改变不得超1%，加标后样品浓度不得超出检测标准检测上限，浓度在校准曲线中间范围浓度内为宜。要求加标回收率不得超出90%-110%范围。 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 xml:space="preserve">（14）每制备批样品均要有平行样测定，平行样品的比例一般为样品数量的10%，要求平行测定结果的相对偏差不得大于5%。 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（15）检测过程中发现可疑、离群数据，应查找原因，及时复测样品进行检验。</w:t>
      </w:r>
    </w:p>
    <w:p>
      <w:pPr>
        <w:pStyle w:val="46"/>
        <w:ind w:firstLine="480"/>
        <w:rPr>
          <w:rFonts w:eastAsiaTheme="minorEastAsia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（16）记录报告要求：现场监测和实验室分析原始记录应详细、准确、不得随意涂改。所有监测数据、记录经过监测分析人员、质控负责人和项目负责人三级审核，经过校对、校核，最后由技术总负责人审定。</w:t>
      </w:r>
    </w:p>
    <w:p>
      <w:pPr>
        <w:pStyle w:val="3"/>
        <w:keepNext w:val="0"/>
        <w:keepLines w:val="0"/>
        <w:autoSpaceDE w:val="0"/>
        <w:autoSpaceDN w:val="0"/>
        <w:adjustRightInd w:val="0"/>
        <w:jc w:val="left"/>
        <w:rPr>
          <w:rFonts w:eastAsiaTheme="minorEastAsia"/>
          <w:color w:val="000000"/>
          <w:kern w:val="0"/>
          <w:sz w:val="32"/>
          <w:lang w:val="zh-CN"/>
        </w:rPr>
      </w:pPr>
      <w:r>
        <w:rPr>
          <w:rFonts w:eastAsiaTheme="minor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六、</w:t>
      </w:r>
      <w:bookmarkStart w:id="12" w:name="_Toc27657"/>
      <w:r>
        <w:rPr>
          <w:rFonts w:eastAsiaTheme="minorEastAsia"/>
          <w:color w:val="000000"/>
          <w:kern w:val="0"/>
          <w:sz w:val="32"/>
          <w:lang w:val="zh-CN"/>
        </w:rPr>
        <w:t>自动监测质量保证</w:t>
      </w:r>
      <w:r>
        <w:rPr>
          <w:rFonts w:eastAsiaTheme="minor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与质量控制要求</w:t>
      </w:r>
    </w:p>
    <w:p>
      <w:pPr>
        <w:pStyle w:val="46"/>
        <w:ind w:firstLine="480"/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（1）严格执行国家环保部颁布的相关环境监测技术规范、分析的标准及方法，实施全过程的质量保证；</w:t>
      </w:r>
    </w:p>
    <w:p>
      <w:pPr>
        <w:pStyle w:val="46"/>
        <w:ind w:firstLine="480"/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（2）参与项目技术人员经考核合格，持证上岗；</w:t>
      </w:r>
    </w:p>
    <w:p>
      <w:pPr>
        <w:pStyle w:val="46"/>
        <w:ind w:firstLine="480"/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（3）项目使用仪器设备通过检定/校准且在检定有效期内，并按照规定定期维护和核查；每周1次对监测系统进行现场维护，检查各台自动分析仪及辅助设备的运行状态和主要技术参数，判断运行是否正常。</w:t>
      </w:r>
    </w:p>
    <w:p>
      <w:pPr>
        <w:pStyle w:val="46"/>
        <w:ind w:firstLine="480"/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（4）实验室分析和数据计算的全过程均按照相关技术规范的要求进行；</w:t>
      </w:r>
    </w:p>
    <w:p>
      <w:pPr>
        <w:pStyle w:val="46"/>
        <w:ind w:firstLine="480"/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（5）每月校准2次，更换药剂后对设备重新校准，样品采取空白测定、平行样分析、质控标样分析、仪器校准的方式进行质量控制，并且质控结果均在受控范围内，符合要求。</w:t>
      </w:r>
    </w:p>
    <w:p>
      <w:pPr>
        <w:pStyle w:val="46"/>
        <w:ind w:firstLine="480"/>
        <w:rPr>
          <w:rFonts w:eastAsiaTheme="minorEastAsia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（6）记录要求：自动监测设备运维记录、各类原始记录内容应完整并有相关人员签字，保存三年。</w:t>
      </w:r>
    </w:p>
    <w:p>
      <w:pPr>
        <w:pStyle w:val="46"/>
        <w:ind w:firstLine="0" w:firstLineChars="0"/>
        <w:rPr>
          <w:rFonts w:eastAsiaTheme="minorEastAsia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七、监测记录、整理、存档要求</w:t>
      </w:r>
      <w:bookmarkEnd w:id="12"/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监测记录的整理与存档包括自行监测方案、委托监测合同（环境监测技术服务合同）、检测单位资质及检测单位提供的检测报告、同时记录生产工况及污染防治设施运行情况等，同时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要求委托的第三方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环境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检测机构将的监测数据整理与存档设计记录表格，对监测过程的关键信息予以记录、整理并存档，记录形式为电子版和纸版同时记录，保存时间不少于三年。</w:t>
      </w:r>
      <w:bookmarkStart w:id="13" w:name="_Toc29713"/>
    </w:p>
    <w:p>
      <w:pPr>
        <w:spacing w:line="360" w:lineRule="auto"/>
        <w:rPr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八、自行监测信息公开</w:t>
      </w:r>
      <w:bookmarkEnd w:id="13"/>
    </w:p>
    <w:p>
      <w:pPr>
        <w:pStyle w:val="3"/>
        <w:rPr>
          <w:rFonts w:eastAsiaTheme="minorEastAsia"/>
          <w:color w:val="000000" w:themeColor="text1"/>
          <w:sz w:val="28"/>
          <w:szCs w:val="18"/>
          <w14:textFill>
            <w14:solidFill>
              <w14:schemeClr w14:val="tx1"/>
            </w14:solidFill>
          </w14:textFill>
        </w:rPr>
      </w:pPr>
      <w:bookmarkStart w:id="14" w:name="_Toc25601"/>
      <w:r>
        <w:rPr>
          <w:rFonts w:eastAsiaTheme="minorEastAsia"/>
          <w:color w:val="000000" w:themeColor="text1"/>
          <w:sz w:val="28"/>
          <w:szCs w:val="18"/>
          <w14:textFill>
            <w14:solidFill>
              <w14:schemeClr w14:val="tx1"/>
            </w14:solidFill>
          </w14:textFill>
        </w:rPr>
        <w:t>（一）公布方式</w:t>
      </w:r>
      <w:bookmarkEnd w:id="14"/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1、通过公告栏/公司网站/电子屏幕等方式公开自行监测信息。</w:t>
      </w:r>
    </w:p>
    <w:p>
      <w:pPr>
        <w:pStyle w:val="3"/>
        <w:rPr>
          <w:rFonts w:eastAsiaTheme="minorEastAsia"/>
          <w:color w:val="000000" w:themeColor="text1"/>
          <w:sz w:val="28"/>
          <w:szCs w:val="18"/>
          <w14:textFill>
            <w14:solidFill>
              <w14:schemeClr w14:val="tx1"/>
            </w14:solidFill>
          </w14:textFill>
        </w:rPr>
      </w:pPr>
      <w:bookmarkStart w:id="15" w:name="_Toc32644"/>
      <w:r>
        <w:rPr>
          <w:rFonts w:eastAsiaTheme="minorEastAsia"/>
          <w:color w:val="000000" w:themeColor="text1"/>
          <w:sz w:val="28"/>
          <w:szCs w:val="18"/>
          <w14:textFill>
            <w14:solidFill>
              <w14:schemeClr w14:val="tx1"/>
            </w14:solidFill>
          </w14:textFill>
        </w:rPr>
        <w:t>（二）公布内容</w:t>
      </w:r>
      <w:bookmarkEnd w:id="15"/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1、基础信息：企业名称、法人代表、所属行业、地理位置、生产周期、联系方式、委托监测机构名称等。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2、自行监测方案。</w:t>
      </w:r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3、自行监测结果：全部监测点位、监测时间、污染物种类及浓度、标准限值、达标情况、超标倍数、污染物排放方式及排放去向。</w:t>
      </w:r>
    </w:p>
    <w:p>
      <w:pPr>
        <w:spacing w:line="360" w:lineRule="auto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4、自行监测年度报告。</w:t>
      </w:r>
    </w:p>
    <w:p>
      <w:pPr>
        <w:pStyle w:val="3"/>
        <w:rPr>
          <w:rFonts w:eastAsiaTheme="minorEastAsia"/>
          <w:color w:val="000000" w:themeColor="text1"/>
          <w:sz w:val="28"/>
          <w:szCs w:val="18"/>
          <w14:textFill>
            <w14:solidFill>
              <w14:schemeClr w14:val="tx1"/>
            </w14:solidFill>
          </w14:textFill>
        </w:rPr>
      </w:pPr>
      <w:bookmarkStart w:id="16" w:name="_Toc8373"/>
      <w:r>
        <w:rPr>
          <w:rFonts w:eastAsiaTheme="minorEastAsia"/>
          <w:color w:val="000000" w:themeColor="text1"/>
          <w:sz w:val="28"/>
          <w:szCs w:val="18"/>
          <w14:textFill>
            <w14:solidFill>
              <w14:schemeClr w14:val="tx1"/>
            </w14:solidFill>
          </w14:textFill>
        </w:rPr>
        <w:t>（三）公布时限</w:t>
      </w:r>
      <w:bookmarkEnd w:id="16"/>
    </w:p>
    <w:p>
      <w:pPr>
        <w:spacing w:line="360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1、公司基础信息将随监测数据一并公布，基础信息、自行监测方案如有调整变化时，五日内公布最新内容。</w:t>
      </w:r>
    </w:p>
    <w:p>
      <w:pPr>
        <w:spacing w:line="360" w:lineRule="auto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2、每年一月底前公布上年度自行监测年度报告。</w:t>
      </w:r>
    </w:p>
    <w:p>
      <w:pPr>
        <w:pStyle w:val="34"/>
        <w:spacing w:before="120" w:line="360" w:lineRule="auto"/>
        <w:jc w:val="both"/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附件：监测点位图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5486400" cy="387731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附件：</w:t>
      </w:r>
      <w:r>
        <w:rPr>
          <w:rFonts w:ascii="Times New Roman" w:hAnsi="Times New Roman" w:cs="Times New Roman"/>
          <w:sz w:val="28"/>
          <w:szCs w:val="36"/>
        </w:rPr>
        <w:t xml:space="preserve">          湖北葛店人福药业有限责任公司</w:t>
      </w:r>
    </w:p>
    <w:p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36"/>
        </w:rPr>
        <w:t>202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4</w:t>
      </w:r>
      <w:r>
        <w:rPr>
          <w:rFonts w:ascii="Times New Roman" w:hAnsi="Times New Roman" w:cs="Times New Roman"/>
          <w:sz w:val="28"/>
          <w:szCs w:val="36"/>
        </w:rPr>
        <w:t>年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1</w:t>
      </w:r>
      <w:r>
        <w:rPr>
          <w:rFonts w:ascii="Times New Roman" w:hAnsi="Times New Roman" w:cs="Times New Roman"/>
          <w:sz w:val="28"/>
          <w:szCs w:val="36"/>
        </w:rPr>
        <w:t>季度废水排放口监测数据一览表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422"/>
        <w:gridCol w:w="1660"/>
        <w:gridCol w:w="2299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时间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排放口</w:t>
            </w: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污染物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排放浓度（mg/L）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排放总量（kg）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一</w:t>
            </w:r>
            <w:r>
              <w:rPr>
                <w:rFonts w:ascii="Times New Roman" w:hAnsi="Times New Roman" w:cs="Times New Roman"/>
                <w:sz w:val="18"/>
              </w:rPr>
              <w:t>月</w:t>
            </w:r>
          </w:p>
        </w:tc>
        <w:tc>
          <w:tcPr>
            <w:tcW w:w="83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DW001</w:t>
            </w: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7.8（</w:t>
            </w:r>
            <w:r>
              <w:rPr>
                <w:rFonts w:ascii="Times New Roman" w:hAnsi="Times New Roman" w:cs="Times New Roman"/>
                <w:sz w:val="18"/>
              </w:rPr>
              <w:t>无量纲）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99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216.24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悬浮物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35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0.889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五日生化需氧量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31.6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总磷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0.33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总氮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8.04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挥发酚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0.01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总锌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0.08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硫化物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0.03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总氰化物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0.004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总铜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0.05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色度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>（倍）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硝基苯类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0.002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苯胺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0.03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急性毒性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0.03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总有机碳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11.9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二氯甲烷</w:t>
            </w:r>
          </w:p>
        </w:tc>
        <w:tc>
          <w:tcPr>
            <w:tcW w:w="1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0.001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二</w:t>
            </w:r>
            <w:r>
              <w:rPr>
                <w:rFonts w:ascii="Times New Roman" w:hAnsi="Times New Roman" w:cs="Times New Roman"/>
                <w:sz w:val="18"/>
              </w:rPr>
              <w:t>月</w:t>
            </w:r>
          </w:p>
        </w:tc>
        <w:tc>
          <w:tcPr>
            <w:tcW w:w="83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DW001</w:t>
            </w: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pH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7.8（</w:t>
            </w:r>
            <w:r>
              <w:rPr>
                <w:rFonts w:ascii="Times New Roman" w:hAnsi="Times New Roman" w:cs="Times New Roman"/>
                <w:sz w:val="18"/>
              </w:rPr>
              <w:t>无量纲）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化学需氧量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99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lang w:val="en-US" w:eastAsia="zh-CN"/>
              </w:rPr>
              <w:t>52.15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悬浮物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35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氨氮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lang w:val="en-US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1.516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lang w:val="en-US" w:eastAsia="zh-CN"/>
              </w:rPr>
              <w:t>1.41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五日生化需氧量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31.6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总磷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0.22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总氮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lang w:val="en-US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7.76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挥发酚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0.01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总锌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0.08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硫化物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0.03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总氰化物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0.004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总铜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0.05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色度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>（倍）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硝基苯类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0.002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苯胺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0.03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急性毒性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0.03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总有机碳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lang w:val="en-US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11.9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二氯甲烷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0.001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三</w:t>
            </w:r>
            <w:r>
              <w:rPr>
                <w:rFonts w:ascii="Times New Roman" w:hAnsi="Times New Roman" w:cs="Times New Roman"/>
                <w:sz w:val="18"/>
              </w:rPr>
              <w:t>月</w:t>
            </w:r>
          </w:p>
        </w:tc>
        <w:tc>
          <w:tcPr>
            <w:tcW w:w="83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DW001</w:t>
            </w: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7.8（</w:t>
            </w:r>
            <w:r>
              <w:rPr>
                <w:rFonts w:ascii="Times New Roman" w:hAnsi="Times New Roman" w:cs="Times New Roman"/>
                <w:sz w:val="18"/>
              </w:rPr>
              <w:t>无量纲）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99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96.39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悬浮物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35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1.92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五日生化需氧量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31.6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总磷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0.29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总氮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6.12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挥发酚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0.01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总锌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0.08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硫化物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0.03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总氰化物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0.004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总铜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0.05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色度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>（倍）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硝基苯类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0.002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苯胺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0.03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急性毒性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0.03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总有机碳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11.9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二氯甲烷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0.001</w:t>
            </w:r>
          </w:p>
        </w:tc>
        <w:tc>
          <w:tcPr>
            <w:tcW w:w="12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/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36"/>
        </w:rPr>
        <w:t>202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4</w:t>
      </w:r>
      <w:r>
        <w:rPr>
          <w:rFonts w:ascii="Times New Roman" w:hAnsi="Times New Roman" w:cs="Times New Roman"/>
          <w:sz w:val="28"/>
          <w:szCs w:val="36"/>
        </w:rPr>
        <w:t>年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1</w:t>
      </w:r>
      <w:r>
        <w:rPr>
          <w:rFonts w:ascii="Times New Roman" w:hAnsi="Times New Roman" w:cs="Times New Roman"/>
          <w:sz w:val="28"/>
          <w:szCs w:val="36"/>
        </w:rPr>
        <w:t>季度雨水排放口监测数据一览表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604"/>
        <w:gridCol w:w="2515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排放口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时间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污染物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排放浓度（mg/L）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DW002（雨水排放口）</w:t>
            </w:r>
          </w:p>
        </w:tc>
        <w:tc>
          <w:tcPr>
            <w:tcW w:w="1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1月17日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21.3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pH（无量纲）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6.98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2月2日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18.67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pH（无量纲）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6.98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2月20日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25.3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pH（无量纲）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3月25日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</w:rPr>
              <w:t>化学需氧量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</w:rPr>
              <w:t>pH（无量纲）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</w:rPr>
              <w:t>氨氮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0.94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8"/>
          <w:szCs w:val="36"/>
        </w:rPr>
        <w:sectPr>
          <w:headerReference r:id="rId5" w:type="default"/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36"/>
        </w:rPr>
        <w:t>202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4</w:t>
      </w:r>
      <w:r>
        <w:rPr>
          <w:rFonts w:ascii="Times New Roman" w:hAnsi="Times New Roman" w:cs="Times New Roman"/>
          <w:sz w:val="28"/>
          <w:szCs w:val="36"/>
        </w:rPr>
        <w:t>年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1</w:t>
      </w:r>
      <w:r>
        <w:rPr>
          <w:rFonts w:ascii="Times New Roman" w:hAnsi="Times New Roman" w:cs="Times New Roman"/>
          <w:sz w:val="28"/>
          <w:szCs w:val="36"/>
        </w:rPr>
        <w:t>季度废气排放口监测数据一览表</w:t>
      </w:r>
    </w:p>
    <w:tbl>
      <w:tblPr>
        <w:tblStyle w:val="16"/>
        <w:tblW w:w="9342" w:type="dxa"/>
        <w:tblInd w:w="-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110"/>
        <w:gridCol w:w="1097"/>
        <w:gridCol w:w="1744"/>
        <w:gridCol w:w="1939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类型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监测时间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监测点位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污染物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排放浓度（mg/m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排放总量（kg）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有组织废气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6.64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9.2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94.88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（车间排放口）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0.784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13.6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64.26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（车间排放口）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氮氧化物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非甲烷总烃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51.2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4.68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9.2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24.14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（车间排放口）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1.76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13.6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35.3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（车间排放口）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氮氧化物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非甲烷总烃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10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5.97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13.7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43.41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（车间排放口）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挥发性有机物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4.65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颗粒物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11.1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45.4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（车间排放口）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DA003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氮氧化物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62.21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DA004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非甲烷总烃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22.3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</w:rPr>
      </w:pPr>
    </w:p>
    <w:p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36"/>
        </w:rPr>
        <w:t>202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4</w:t>
      </w:r>
      <w:r>
        <w:rPr>
          <w:rFonts w:ascii="Times New Roman" w:hAnsi="Times New Roman" w:cs="Times New Roman"/>
          <w:sz w:val="28"/>
          <w:szCs w:val="36"/>
        </w:rPr>
        <w:t>年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1</w:t>
      </w:r>
      <w:r>
        <w:rPr>
          <w:rFonts w:ascii="Times New Roman" w:hAnsi="Times New Roman" w:cs="Times New Roman"/>
          <w:sz w:val="28"/>
          <w:szCs w:val="36"/>
        </w:rPr>
        <w:t>季度噪声监测数据一览表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604"/>
        <w:gridCol w:w="2515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采样时间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检测点位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昼间（dB（A））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夜间（dB（A））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21"/>
                <w:lang w:val="en-US" w:eastAsia="zh-CN"/>
              </w:rPr>
            </w:pPr>
          </w:p>
        </w:tc>
        <w:tc>
          <w:tcPr>
            <w:tcW w:w="1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1#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59.1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49.3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2#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56.9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47.1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3#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56.5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4#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55.7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21"/>
                <w:lang w:val="en-US" w:eastAsia="zh-CN"/>
              </w:rPr>
              <w:t>49.7</w:t>
            </w:r>
          </w:p>
        </w:tc>
      </w:tr>
    </w:tbl>
    <w:p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155680"/>
    <w:multiLevelType w:val="singleLevel"/>
    <w:tmpl w:val="A515568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0A92103"/>
    <w:multiLevelType w:val="singleLevel"/>
    <w:tmpl w:val="B0A92103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E0E3FAE"/>
    <w:multiLevelType w:val="multilevel"/>
    <w:tmpl w:val="7E0E3FAE"/>
    <w:lvl w:ilvl="0" w:tentative="0">
      <w:start w:val="1"/>
      <w:numFmt w:val="decimal"/>
      <w:lvlText w:val="（%1）"/>
      <w:lvlJc w:val="left"/>
      <w:pPr>
        <w:ind w:left="84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786" w:hanging="420"/>
      </w:pPr>
    </w:lvl>
    <w:lvl w:ilvl="2" w:tentative="0">
      <w:start w:val="1"/>
      <w:numFmt w:val="lowerRoman"/>
      <w:lvlText w:val="%3."/>
      <w:lvlJc w:val="right"/>
      <w:pPr>
        <w:ind w:left="1206" w:hanging="420"/>
      </w:pPr>
    </w:lvl>
    <w:lvl w:ilvl="3" w:tentative="0">
      <w:start w:val="1"/>
      <w:numFmt w:val="decimal"/>
      <w:lvlText w:val="%4."/>
      <w:lvlJc w:val="left"/>
      <w:pPr>
        <w:ind w:left="1626" w:hanging="420"/>
      </w:pPr>
    </w:lvl>
    <w:lvl w:ilvl="4" w:tentative="0">
      <w:start w:val="1"/>
      <w:numFmt w:val="lowerLetter"/>
      <w:lvlText w:val="%5)"/>
      <w:lvlJc w:val="left"/>
      <w:pPr>
        <w:ind w:left="2046" w:hanging="420"/>
      </w:pPr>
    </w:lvl>
    <w:lvl w:ilvl="5" w:tentative="0">
      <w:start w:val="1"/>
      <w:numFmt w:val="lowerRoman"/>
      <w:lvlText w:val="%6."/>
      <w:lvlJc w:val="right"/>
      <w:pPr>
        <w:ind w:left="2466" w:hanging="420"/>
      </w:pPr>
    </w:lvl>
    <w:lvl w:ilvl="6" w:tentative="0">
      <w:start w:val="1"/>
      <w:numFmt w:val="decimal"/>
      <w:lvlText w:val="%7."/>
      <w:lvlJc w:val="left"/>
      <w:pPr>
        <w:ind w:left="2886" w:hanging="420"/>
      </w:pPr>
    </w:lvl>
    <w:lvl w:ilvl="7" w:tentative="0">
      <w:start w:val="1"/>
      <w:numFmt w:val="lowerLetter"/>
      <w:lvlText w:val="%8)"/>
      <w:lvlJc w:val="left"/>
      <w:pPr>
        <w:ind w:left="3306" w:hanging="420"/>
      </w:pPr>
    </w:lvl>
    <w:lvl w:ilvl="8" w:tentative="0">
      <w:start w:val="1"/>
      <w:numFmt w:val="lowerRoman"/>
      <w:lvlText w:val="%9."/>
      <w:lvlJc w:val="right"/>
      <w:pPr>
        <w:ind w:left="372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MWMyZDY0OTEzYTFkNWUzYzA5NTJmYTEzN2VkMjMifQ=="/>
  </w:docVars>
  <w:rsids>
    <w:rsidRoot w:val="0023459E"/>
    <w:rsid w:val="00006269"/>
    <w:rsid w:val="0005617A"/>
    <w:rsid w:val="000728C2"/>
    <w:rsid w:val="000840BC"/>
    <w:rsid w:val="00085BD9"/>
    <w:rsid w:val="00086991"/>
    <w:rsid w:val="00092B2F"/>
    <w:rsid w:val="000A3881"/>
    <w:rsid w:val="000B2DF5"/>
    <w:rsid w:val="000B7784"/>
    <w:rsid w:val="000C399A"/>
    <w:rsid w:val="000D3E1E"/>
    <w:rsid w:val="000E4DEC"/>
    <w:rsid w:val="00100A29"/>
    <w:rsid w:val="00100F7B"/>
    <w:rsid w:val="00136C3B"/>
    <w:rsid w:val="001541DE"/>
    <w:rsid w:val="00161708"/>
    <w:rsid w:val="00192B07"/>
    <w:rsid w:val="001930EC"/>
    <w:rsid w:val="001B4B8E"/>
    <w:rsid w:val="001E4A54"/>
    <w:rsid w:val="001F137E"/>
    <w:rsid w:val="00216D5F"/>
    <w:rsid w:val="00224380"/>
    <w:rsid w:val="0023459E"/>
    <w:rsid w:val="00255687"/>
    <w:rsid w:val="002748C3"/>
    <w:rsid w:val="002A07C1"/>
    <w:rsid w:val="002A591B"/>
    <w:rsid w:val="002D2017"/>
    <w:rsid w:val="002F0B3B"/>
    <w:rsid w:val="00322C08"/>
    <w:rsid w:val="00326078"/>
    <w:rsid w:val="003458CA"/>
    <w:rsid w:val="00354CE6"/>
    <w:rsid w:val="00374480"/>
    <w:rsid w:val="003860D3"/>
    <w:rsid w:val="003B04B5"/>
    <w:rsid w:val="003C7427"/>
    <w:rsid w:val="003E67CF"/>
    <w:rsid w:val="00413946"/>
    <w:rsid w:val="004200A4"/>
    <w:rsid w:val="00461C49"/>
    <w:rsid w:val="0047057E"/>
    <w:rsid w:val="004739B4"/>
    <w:rsid w:val="0047428A"/>
    <w:rsid w:val="004A3C1F"/>
    <w:rsid w:val="004B108D"/>
    <w:rsid w:val="004F507C"/>
    <w:rsid w:val="00501124"/>
    <w:rsid w:val="005044B6"/>
    <w:rsid w:val="005100D4"/>
    <w:rsid w:val="005168A0"/>
    <w:rsid w:val="00534E13"/>
    <w:rsid w:val="0053527E"/>
    <w:rsid w:val="00560FAE"/>
    <w:rsid w:val="00594B53"/>
    <w:rsid w:val="005A3CEC"/>
    <w:rsid w:val="005B29FB"/>
    <w:rsid w:val="005B388E"/>
    <w:rsid w:val="005D02C2"/>
    <w:rsid w:val="00610D89"/>
    <w:rsid w:val="006343BB"/>
    <w:rsid w:val="00641A1C"/>
    <w:rsid w:val="00667BFC"/>
    <w:rsid w:val="00671CF4"/>
    <w:rsid w:val="00674E66"/>
    <w:rsid w:val="00683FEA"/>
    <w:rsid w:val="006A1E5C"/>
    <w:rsid w:val="006A2F7D"/>
    <w:rsid w:val="006A511C"/>
    <w:rsid w:val="006C5C7E"/>
    <w:rsid w:val="006C7CF1"/>
    <w:rsid w:val="006D1BB2"/>
    <w:rsid w:val="006D3332"/>
    <w:rsid w:val="007105F9"/>
    <w:rsid w:val="00733550"/>
    <w:rsid w:val="00741B17"/>
    <w:rsid w:val="00745D9E"/>
    <w:rsid w:val="00760206"/>
    <w:rsid w:val="0077700C"/>
    <w:rsid w:val="007927EB"/>
    <w:rsid w:val="007D1108"/>
    <w:rsid w:val="007D1CB7"/>
    <w:rsid w:val="008225D6"/>
    <w:rsid w:val="00823E8A"/>
    <w:rsid w:val="00831E0C"/>
    <w:rsid w:val="0084668B"/>
    <w:rsid w:val="00870D8B"/>
    <w:rsid w:val="00876FD1"/>
    <w:rsid w:val="0089246B"/>
    <w:rsid w:val="008F1824"/>
    <w:rsid w:val="0092323A"/>
    <w:rsid w:val="00925392"/>
    <w:rsid w:val="00941DF3"/>
    <w:rsid w:val="00962CC9"/>
    <w:rsid w:val="0097236F"/>
    <w:rsid w:val="00996BED"/>
    <w:rsid w:val="009A30F8"/>
    <w:rsid w:val="009B1518"/>
    <w:rsid w:val="00A06E03"/>
    <w:rsid w:val="00A37F6F"/>
    <w:rsid w:val="00A40680"/>
    <w:rsid w:val="00A451F9"/>
    <w:rsid w:val="00A65145"/>
    <w:rsid w:val="00A85DAA"/>
    <w:rsid w:val="00A94A61"/>
    <w:rsid w:val="00AA4B2B"/>
    <w:rsid w:val="00AE7EF0"/>
    <w:rsid w:val="00B1232F"/>
    <w:rsid w:val="00B14F93"/>
    <w:rsid w:val="00B241A7"/>
    <w:rsid w:val="00B33B6C"/>
    <w:rsid w:val="00B4138B"/>
    <w:rsid w:val="00B432F7"/>
    <w:rsid w:val="00B45C50"/>
    <w:rsid w:val="00B86CCF"/>
    <w:rsid w:val="00B964EF"/>
    <w:rsid w:val="00BC5078"/>
    <w:rsid w:val="00C21834"/>
    <w:rsid w:val="00C326E4"/>
    <w:rsid w:val="00C51FD9"/>
    <w:rsid w:val="00C839D4"/>
    <w:rsid w:val="00C86392"/>
    <w:rsid w:val="00C87F83"/>
    <w:rsid w:val="00C92C3C"/>
    <w:rsid w:val="00CA6172"/>
    <w:rsid w:val="00CC068E"/>
    <w:rsid w:val="00CC224A"/>
    <w:rsid w:val="00CD0B60"/>
    <w:rsid w:val="00CD3A75"/>
    <w:rsid w:val="00CD577C"/>
    <w:rsid w:val="00CE3063"/>
    <w:rsid w:val="00D17993"/>
    <w:rsid w:val="00D26DD4"/>
    <w:rsid w:val="00D31546"/>
    <w:rsid w:val="00D44B1C"/>
    <w:rsid w:val="00D45215"/>
    <w:rsid w:val="00D7546E"/>
    <w:rsid w:val="00D8435B"/>
    <w:rsid w:val="00D87D2E"/>
    <w:rsid w:val="00D92CAC"/>
    <w:rsid w:val="00DA34AC"/>
    <w:rsid w:val="00DB0A20"/>
    <w:rsid w:val="00DC1185"/>
    <w:rsid w:val="00DD5E49"/>
    <w:rsid w:val="00DE1D8C"/>
    <w:rsid w:val="00E14498"/>
    <w:rsid w:val="00E15073"/>
    <w:rsid w:val="00E15CD7"/>
    <w:rsid w:val="00E245DA"/>
    <w:rsid w:val="00E2667A"/>
    <w:rsid w:val="00E4411C"/>
    <w:rsid w:val="00E6357B"/>
    <w:rsid w:val="00E91563"/>
    <w:rsid w:val="00EB33E3"/>
    <w:rsid w:val="00ED3740"/>
    <w:rsid w:val="00F5481F"/>
    <w:rsid w:val="00F5636B"/>
    <w:rsid w:val="00F67482"/>
    <w:rsid w:val="00F7662F"/>
    <w:rsid w:val="00F837F0"/>
    <w:rsid w:val="00F91D27"/>
    <w:rsid w:val="00FC364E"/>
    <w:rsid w:val="00FD2B88"/>
    <w:rsid w:val="00FE2A5D"/>
    <w:rsid w:val="03524EF7"/>
    <w:rsid w:val="051D7B00"/>
    <w:rsid w:val="055738EE"/>
    <w:rsid w:val="070D0B30"/>
    <w:rsid w:val="08FF019C"/>
    <w:rsid w:val="0A446C24"/>
    <w:rsid w:val="0BCE4346"/>
    <w:rsid w:val="11EE19F7"/>
    <w:rsid w:val="14791787"/>
    <w:rsid w:val="1ED87694"/>
    <w:rsid w:val="202C73BC"/>
    <w:rsid w:val="20FD4F91"/>
    <w:rsid w:val="27F41BB1"/>
    <w:rsid w:val="28B41259"/>
    <w:rsid w:val="29294776"/>
    <w:rsid w:val="298C23C0"/>
    <w:rsid w:val="2A2510E5"/>
    <w:rsid w:val="2A3925DB"/>
    <w:rsid w:val="2B5B45B3"/>
    <w:rsid w:val="2BE82108"/>
    <w:rsid w:val="34D54047"/>
    <w:rsid w:val="34EC240D"/>
    <w:rsid w:val="402A69BE"/>
    <w:rsid w:val="41423BB9"/>
    <w:rsid w:val="45725A27"/>
    <w:rsid w:val="498863CA"/>
    <w:rsid w:val="4AB8505F"/>
    <w:rsid w:val="4E410EC2"/>
    <w:rsid w:val="4FA137C0"/>
    <w:rsid w:val="53B57F7E"/>
    <w:rsid w:val="59CF689A"/>
    <w:rsid w:val="5D5B1286"/>
    <w:rsid w:val="5DAE7620"/>
    <w:rsid w:val="5EC87A76"/>
    <w:rsid w:val="62883ABA"/>
    <w:rsid w:val="64DC3870"/>
    <w:rsid w:val="679725F3"/>
    <w:rsid w:val="6CF66663"/>
    <w:rsid w:val="6E87181C"/>
    <w:rsid w:val="6EE948D4"/>
    <w:rsid w:val="720C6D08"/>
    <w:rsid w:val="73F11BFD"/>
    <w:rsid w:val="760B44B0"/>
    <w:rsid w:val="77C053C2"/>
    <w:rsid w:val="79041B70"/>
    <w:rsid w:val="792E570B"/>
    <w:rsid w:val="7C230714"/>
    <w:rsid w:val="7C932D68"/>
    <w:rsid w:val="7E95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keepNext/>
      <w:keepLines/>
      <w:spacing w:before="20" w:after="2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2"/>
    <w:autoRedefine/>
    <w:qFormat/>
    <w:uiPriority w:val="0"/>
    <w:pPr>
      <w:keepNext/>
      <w:keepLines/>
      <w:spacing w:line="360" w:lineRule="auto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link w:val="21"/>
    <w:autoRedefine/>
    <w:qFormat/>
    <w:uiPriority w:val="0"/>
    <w:pPr>
      <w:keepNext/>
      <w:keepLines/>
      <w:ind w:left="567" w:hanging="567"/>
      <w:outlineLvl w:val="2"/>
    </w:pPr>
    <w:rPr>
      <w:rFonts w:ascii="Times New Roman" w:hAnsi="Times New Roman" w:eastAsia="宋体" w:cs="Times New Roman"/>
      <w:b/>
      <w:sz w:val="28"/>
      <w:szCs w:val="20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9"/>
    <w:autoRedefine/>
    <w:unhideWhenUsed/>
    <w:qFormat/>
    <w:uiPriority w:val="99"/>
    <w:pPr>
      <w:spacing w:line="360" w:lineRule="auto"/>
      <w:ind w:firstLine="200" w:firstLineChars="200"/>
      <w:jc w:val="left"/>
    </w:pPr>
    <w:rPr>
      <w:rFonts w:ascii="Times New Roman" w:hAnsi="Times New Roman" w:eastAsia="宋体" w:cs="Times New Roman"/>
      <w:sz w:val="24"/>
      <w:szCs w:val="20"/>
    </w:rPr>
  </w:style>
  <w:style w:type="paragraph" w:styleId="6">
    <w:name w:val="Body Text"/>
    <w:basedOn w:val="1"/>
    <w:link w:val="30"/>
    <w:autoRedefine/>
    <w:unhideWhenUsed/>
    <w:qFormat/>
    <w:uiPriority w:val="99"/>
    <w:pPr>
      <w:spacing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7">
    <w:name w:val="toc 3"/>
    <w:basedOn w:val="1"/>
    <w:next w:val="1"/>
    <w:autoRedefine/>
    <w:unhideWhenUsed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8">
    <w:name w:val="Balloon Text"/>
    <w:basedOn w:val="1"/>
    <w:link w:val="26"/>
    <w:autoRedefine/>
    <w:qFormat/>
    <w:uiPriority w:val="99"/>
    <w:rPr>
      <w:sz w:val="18"/>
      <w:szCs w:val="18"/>
    </w:rPr>
  </w:style>
  <w:style w:type="paragraph" w:styleId="9">
    <w:name w:val="footer"/>
    <w:basedOn w:val="1"/>
    <w:link w:val="2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qFormat/>
    <w:uiPriority w:val="39"/>
    <w:rPr>
      <w:rFonts w:ascii="Calibri" w:hAnsi="Calibri" w:eastAsia="宋体" w:cs="Calibri"/>
      <w:szCs w:val="21"/>
    </w:rPr>
  </w:style>
  <w:style w:type="paragraph" w:styleId="12">
    <w:name w:val="toc 2"/>
    <w:basedOn w:val="1"/>
    <w:next w:val="1"/>
    <w:autoRedefine/>
    <w:qFormat/>
    <w:uiPriority w:val="39"/>
    <w:pPr>
      <w:ind w:left="420" w:leftChars="200"/>
    </w:pPr>
    <w:rPr>
      <w:rFonts w:ascii="Calibri" w:hAnsi="Calibri" w:eastAsia="宋体" w:cs="Calibri"/>
      <w:szCs w:val="21"/>
    </w:rPr>
  </w:style>
  <w:style w:type="paragraph" w:styleId="1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4">
    <w:name w:val="annotation subject"/>
    <w:basedOn w:val="5"/>
    <w:next w:val="5"/>
    <w:link w:val="31"/>
    <w:autoRedefine/>
    <w:unhideWhenUsed/>
    <w:qFormat/>
    <w:uiPriority w:val="99"/>
    <w:rPr>
      <w:b/>
      <w:bCs/>
    </w:rPr>
  </w:style>
  <w:style w:type="table" w:styleId="16">
    <w:name w:val="Table Grid"/>
    <w:basedOn w:val="1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FollowedHyperlink"/>
    <w:basedOn w:val="17"/>
    <w:autoRedefine/>
    <w:unhideWhenUsed/>
    <w:qFormat/>
    <w:uiPriority w:val="99"/>
    <w:rPr>
      <w:color w:val="185ECF"/>
      <w:u w:val="none"/>
    </w:rPr>
  </w:style>
  <w:style w:type="character" w:styleId="19">
    <w:name w:val="Hyperlink"/>
    <w:autoRedefine/>
    <w:qFormat/>
    <w:uiPriority w:val="99"/>
    <w:rPr>
      <w:rFonts w:cs="Times New Roman"/>
      <w:color w:val="0000FF"/>
      <w:u w:val="single"/>
    </w:rPr>
  </w:style>
  <w:style w:type="character" w:styleId="20">
    <w:name w:val="annotation reference"/>
    <w:basedOn w:val="17"/>
    <w:autoRedefine/>
    <w:unhideWhenUsed/>
    <w:qFormat/>
    <w:uiPriority w:val="99"/>
    <w:rPr>
      <w:sz w:val="21"/>
      <w:szCs w:val="21"/>
    </w:rPr>
  </w:style>
  <w:style w:type="character" w:customStyle="1" w:styleId="21">
    <w:name w:val="标题 3 Char"/>
    <w:basedOn w:val="17"/>
    <w:link w:val="4"/>
    <w:autoRedefine/>
    <w:qFormat/>
    <w:uiPriority w:val="0"/>
    <w:rPr>
      <w:b/>
      <w:kern w:val="2"/>
      <w:sz w:val="28"/>
    </w:rPr>
  </w:style>
  <w:style w:type="character" w:customStyle="1" w:styleId="22">
    <w:name w:val="标题 2 Char"/>
    <w:basedOn w:val="17"/>
    <w:link w:val="3"/>
    <w:autoRedefine/>
    <w:qFormat/>
    <w:uiPriority w:val="0"/>
    <w:rPr>
      <w:rFonts w:ascii="Cambria" w:hAnsi="Cambria"/>
      <w:b/>
      <w:bCs/>
      <w:kern w:val="2"/>
      <w:sz w:val="24"/>
      <w:szCs w:val="32"/>
    </w:rPr>
  </w:style>
  <w:style w:type="character" w:customStyle="1" w:styleId="23">
    <w:name w:val="标题 1 Char"/>
    <w:basedOn w:val="17"/>
    <w:link w:val="2"/>
    <w:autoRedefine/>
    <w:qFormat/>
    <w:uiPriority w:val="0"/>
    <w:rPr>
      <w:rFonts w:asciiTheme="minorHAnsi" w:hAnsiTheme="minorHAnsi" w:eastAsiaTheme="minorEastAsia" w:cstheme="minorBidi"/>
      <w:b/>
      <w:bCs/>
      <w:kern w:val="44"/>
      <w:sz w:val="28"/>
      <w:szCs w:val="44"/>
    </w:rPr>
  </w:style>
  <w:style w:type="character" w:customStyle="1" w:styleId="24">
    <w:name w:val="页眉 Char"/>
    <w:basedOn w:val="17"/>
    <w:link w:val="10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Char"/>
    <w:basedOn w:val="17"/>
    <w:link w:val="9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批注框文本 Char"/>
    <w:basedOn w:val="17"/>
    <w:link w:val="8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7">
    <w:name w:val="TOC 标题1"/>
    <w:basedOn w:val="2"/>
    <w:next w:val="1"/>
    <w:link w:val="38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Cs w:val="28"/>
    </w:rPr>
  </w:style>
  <w:style w:type="paragraph" w:customStyle="1" w:styleId="28">
    <w:name w:val="Default"/>
    <w:autoRedefine/>
    <w:unhideWhenUsed/>
    <w:qFormat/>
    <w:uiPriority w:val="99"/>
    <w:pPr>
      <w:widowControl w:val="0"/>
      <w:autoSpaceDE w:val="0"/>
      <w:autoSpaceDN w:val="0"/>
      <w:spacing w:line="240" w:lineRule="atLeast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29">
    <w:name w:val="批注文字 Char"/>
    <w:basedOn w:val="17"/>
    <w:link w:val="5"/>
    <w:autoRedefine/>
    <w:qFormat/>
    <w:uiPriority w:val="99"/>
    <w:rPr>
      <w:kern w:val="2"/>
      <w:sz w:val="24"/>
    </w:rPr>
  </w:style>
  <w:style w:type="character" w:customStyle="1" w:styleId="30">
    <w:name w:val="正文文本 Char"/>
    <w:basedOn w:val="17"/>
    <w:link w:val="6"/>
    <w:autoRedefine/>
    <w:qFormat/>
    <w:uiPriority w:val="99"/>
    <w:rPr>
      <w:kern w:val="2"/>
      <w:sz w:val="24"/>
    </w:rPr>
  </w:style>
  <w:style w:type="character" w:customStyle="1" w:styleId="31">
    <w:name w:val="批注主题 Char"/>
    <w:basedOn w:val="29"/>
    <w:link w:val="14"/>
    <w:autoRedefine/>
    <w:qFormat/>
    <w:uiPriority w:val="99"/>
    <w:rPr>
      <w:b/>
      <w:bCs/>
      <w:kern w:val="2"/>
      <w:sz w:val="24"/>
    </w:rPr>
  </w:style>
  <w:style w:type="paragraph" w:customStyle="1" w:styleId="32">
    <w:name w:val="标题4"/>
    <w:basedOn w:val="1"/>
    <w:next w:val="1"/>
    <w:autoRedefine/>
    <w:qFormat/>
    <w:uiPriority w:val="0"/>
    <w:pPr>
      <w:keepNext/>
      <w:keepLines/>
      <w:spacing w:line="300" w:lineRule="auto"/>
      <w:ind w:firstLine="200" w:firstLineChars="200"/>
      <w:outlineLvl w:val="3"/>
    </w:pPr>
    <w:rPr>
      <w:rFonts w:ascii="Times New Roman" w:hAnsi="Times New Roman" w:eastAsia="宋体" w:cs="Times New Roman"/>
      <w:b/>
      <w:bCs/>
      <w:sz w:val="24"/>
      <w:szCs w:val="32"/>
    </w:rPr>
  </w:style>
  <w:style w:type="paragraph" w:customStyle="1" w:styleId="33">
    <w:name w:val="表"/>
    <w:basedOn w:val="1"/>
    <w:autoRedefine/>
    <w:qFormat/>
    <w:uiPriority w:val="0"/>
    <w:pPr>
      <w:jc w:val="center"/>
    </w:pPr>
    <w:rPr>
      <w:rFonts w:ascii="Times New Roman" w:hAnsi="Times New Roman" w:eastAsia="宋体" w:cs="Times New Roman"/>
      <w:bCs/>
      <w:kern w:val="44"/>
      <w:szCs w:val="44"/>
    </w:rPr>
  </w:style>
  <w:style w:type="paragraph" w:customStyle="1" w:styleId="34">
    <w:name w:val="表头"/>
    <w:basedOn w:val="1"/>
    <w:next w:val="1"/>
    <w:autoRedefine/>
    <w:qFormat/>
    <w:uiPriority w:val="0"/>
    <w:pPr>
      <w:spacing w:before="50" w:beforeLines="50"/>
      <w:jc w:val="center"/>
    </w:pPr>
    <w:rPr>
      <w:rFonts w:ascii="Times New Roman" w:hAnsi="Times New Roman" w:eastAsia="宋体" w:cs="Times New Roman"/>
      <w:b/>
      <w:sz w:val="24"/>
      <w:szCs w:val="22"/>
    </w:rPr>
  </w:style>
  <w:style w:type="paragraph" w:customStyle="1" w:styleId="35">
    <w:name w:val="图头"/>
    <w:basedOn w:val="1"/>
    <w:next w:val="1"/>
    <w:autoRedefine/>
    <w:qFormat/>
    <w:uiPriority w:val="0"/>
    <w:pPr>
      <w:spacing w:after="50" w:afterLines="50"/>
      <w:jc w:val="center"/>
    </w:pPr>
    <w:rPr>
      <w:rFonts w:ascii="Times New Roman" w:hAnsi="Times New Roman" w:eastAsia="宋体" w:cs="Times New Roman"/>
      <w:b/>
      <w:sz w:val="24"/>
      <w:szCs w:val="20"/>
    </w:rPr>
  </w:style>
  <w:style w:type="paragraph" w:customStyle="1" w:styleId="36">
    <w:name w:val="无间隔1"/>
    <w:basedOn w:val="1"/>
    <w:next w:val="1"/>
    <w:link w:val="37"/>
    <w:autoRedefine/>
    <w:qFormat/>
    <w:uiPriority w:val="1"/>
    <w:pPr>
      <w:spacing w:before="200" w:after="200" w:line="360" w:lineRule="auto"/>
      <w:jc w:val="center"/>
      <w:outlineLvl w:val="0"/>
    </w:pPr>
    <w:rPr>
      <w:rFonts w:ascii="Times New Roman" w:hAnsi="Times New Roman" w:eastAsia="宋体" w:cs="宋体"/>
      <w:b/>
      <w:sz w:val="32"/>
      <w:szCs w:val="20"/>
    </w:rPr>
  </w:style>
  <w:style w:type="character" w:customStyle="1" w:styleId="37">
    <w:name w:val="无间隔 Char"/>
    <w:basedOn w:val="17"/>
    <w:link w:val="36"/>
    <w:autoRedefine/>
    <w:qFormat/>
    <w:uiPriority w:val="1"/>
    <w:rPr>
      <w:rFonts w:cs="宋体"/>
      <w:b/>
      <w:kern w:val="2"/>
      <w:sz w:val="32"/>
    </w:rPr>
  </w:style>
  <w:style w:type="character" w:customStyle="1" w:styleId="38">
    <w:name w:val="TOC 标题 Char"/>
    <w:basedOn w:val="23"/>
    <w:link w:val="27"/>
    <w:autoRedefine/>
    <w:qFormat/>
    <w:uiPriority w:val="39"/>
    <w:rPr>
      <w:rFonts w:ascii="Cambria" w:hAnsi="Cambria" w:eastAsiaTheme="minorEastAsia" w:cstheme="minorBidi"/>
      <w:color w:val="365F91"/>
      <w:kern w:val="44"/>
      <w:sz w:val="28"/>
      <w:szCs w:val="28"/>
    </w:rPr>
  </w:style>
  <w:style w:type="paragraph" w:customStyle="1" w:styleId="39">
    <w:name w:val="正文_17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40">
    <w:name w:val="fontstyle01"/>
    <w:basedOn w:val="17"/>
    <w:autoRedefine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41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42">
    <w:name w:val="彩色网格 - 强调文字颜色 1 Char"/>
    <w:link w:val="43"/>
    <w:autoRedefine/>
    <w:qFormat/>
    <w:uiPriority w:val="0"/>
    <w:rPr>
      <w:rFonts w:eastAsia="仿宋_GB2312"/>
    </w:rPr>
  </w:style>
  <w:style w:type="paragraph" w:customStyle="1" w:styleId="43">
    <w:name w:val="彩色网格 - 强调文字颜色 11"/>
    <w:basedOn w:val="1"/>
    <w:next w:val="1"/>
    <w:link w:val="42"/>
    <w:autoRedefine/>
    <w:qFormat/>
    <w:uiPriority w:val="0"/>
    <w:pPr>
      <w:adjustRightInd w:val="0"/>
      <w:snapToGrid w:val="0"/>
      <w:ind w:firstLine="200" w:firstLineChars="200"/>
    </w:pPr>
    <w:rPr>
      <w:rFonts w:ascii="Times New Roman" w:hAnsi="Times New Roman" w:eastAsia="仿宋_GB2312" w:cs="Times New Roman"/>
      <w:kern w:val="0"/>
      <w:sz w:val="20"/>
      <w:szCs w:val="20"/>
    </w:rPr>
  </w:style>
  <w:style w:type="paragraph" w:customStyle="1" w:styleId="44">
    <w:name w:val="Table Paragraph"/>
    <w:basedOn w:val="1"/>
    <w:autoRedefine/>
    <w:qFormat/>
    <w:uiPriority w:val="1"/>
    <w:pPr>
      <w:jc w:val="left"/>
    </w:pPr>
    <w:rPr>
      <w:rFonts w:ascii="宋体" w:hAnsi="宋体" w:eastAsia="宋体" w:cs="宋体"/>
      <w:kern w:val="0"/>
      <w:sz w:val="22"/>
      <w:szCs w:val="22"/>
      <w:lang w:eastAsia="en-US"/>
    </w:rPr>
  </w:style>
  <w:style w:type="paragraph" w:customStyle="1" w:styleId="45">
    <w:name w:val="正文_19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46">
    <w:name w:val="列出段落1"/>
    <w:basedOn w:val="1"/>
    <w:autoRedefine/>
    <w:qFormat/>
    <w:uiPriority w:val="34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  <w:szCs w:val="20"/>
    </w:rPr>
  </w:style>
  <w:style w:type="character" w:customStyle="1" w:styleId="47">
    <w:name w:val="chakan"/>
    <w:basedOn w:val="17"/>
    <w:autoRedefine/>
    <w:qFormat/>
    <w:uiPriority w:val="0"/>
    <w:rPr>
      <w:color w:val="0064EA"/>
    </w:rPr>
  </w:style>
  <w:style w:type="character" w:customStyle="1" w:styleId="48">
    <w:name w:val="checkbox"/>
    <w:basedOn w:val="17"/>
    <w:autoRedefine/>
    <w:qFormat/>
    <w:uiPriority w:val="0"/>
  </w:style>
  <w:style w:type="character" w:customStyle="1" w:styleId="49">
    <w:name w:val="shenbao"/>
    <w:basedOn w:val="17"/>
    <w:autoRedefine/>
    <w:qFormat/>
    <w:uiPriority w:val="0"/>
    <w:rPr>
      <w:color w:val="EF6334"/>
    </w:rPr>
  </w:style>
  <w:style w:type="character" w:customStyle="1" w:styleId="50">
    <w:name w:val="checkbox2"/>
    <w:basedOn w:val="17"/>
    <w:autoRedefine/>
    <w:qFormat/>
    <w:uiPriority w:val="0"/>
  </w:style>
  <w:style w:type="paragraph" w:styleId="51">
    <w:name w:val="List Paragraph"/>
    <w:basedOn w:val="1"/>
    <w:autoRedefine/>
    <w:unhideWhenUsed/>
    <w:qFormat/>
    <w:uiPriority w:val="99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  <w:szCs w:val="20"/>
    </w:rPr>
  </w:style>
  <w:style w:type="character" w:customStyle="1" w:styleId="52">
    <w:name w:val="font11"/>
    <w:basedOn w:val="17"/>
    <w:autoRedefine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83087-A222-4FB6-BF68-56C7F7AC23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10635</Words>
  <Characters>12471</Characters>
  <Lines>106</Lines>
  <Paragraphs>29</Paragraphs>
  <TotalTime>8</TotalTime>
  <ScaleCrop>false</ScaleCrop>
  <LinksUpToDate>false</LinksUpToDate>
  <CharactersWithSpaces>12663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2021-07-13T01:20:00Z</dcterms:created>
  <dc:creator>Administrator</dc:creator>
  <cp:lastModifiedBy>恰逢花开</cp:lastModifiedBy>
  <dcterms:modified xsi:type="dcterms:W3CDTF">2024-04-16T02:36:46Z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444B733AF1754CD0B08873DD4AC4141A</vt:lpwstr>
  </property>
</Properties>
</file>